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both"/>
        <w:rPr>
          <w:rFonts w:hint="eastAsia"/>
          <w:b/>
          <w:sz w:val="48"/>
          <w:szCs w:val="48"/>
        </w:rPr>
      </w:pPr>
      <w:r>
        <w:rPr>
          <w:b/>
          <w:sz w:val="48"/>
          <w:szCs w:val="48"/>
        </w:rPr>
        <w:t>建设项目竣工环境保护设施</w:t>
      </w:r>
    </w:p>
    <w:p>
      <w:pPr>
        <w:ind w:firstLine="964"/>
        <w:jc w:val="center"/>
        <w:rPr>
          <w:b/>
          <w:sz w:val="48"/>
          <w:szCs w:val="48"/>
        </w:rPr>
      </w:pPr>
    </w:p>
    <w:p>
      <w:pPr>
        <w:ind w:firstLine="2891" w:firstLineChars="600"/>
        <w:jc w:val="both"/>
        <w:rPr>
          <w:b/>
          <w:sz w:val="48"/>
          <w:szCs w:val="48"/>
        </w:rPr>
      </w:pPr>
      <w:r>
        <w:rPr>
          <w:b/>
          <w:sz w:val="48"/>
          <w:szCs w:val="48"/>
        </w:rPr>
        <w:t>验收报告</w:t>
      </w:r>
    </w:p>
    <w:p>
      <w:pPr>
        <w:ind w:firstLine="643"/>
        <w:jc w:val="center"/>
        <w:rPr>
          <w:b/>
          <w:sz w:val="32"/>
          <w:szCs w:val="32"/>
        </w:rPr>
      </w:pPr>
    </w:p>
    <w:p>
      <w:pPr>
        <w:ind w:firstLine="0" w:firstLineChars="0"/>
        <w:rPr>
          <w:b/>
          <w:sz w:val="32"/>
          <w:szCs w:val="32"/>
        </w:rPr>
      </w:pPr>
    </w:p>
    <w:p>
      <w:pPr>
        <w:ind w:firstLine="0" w:firstLineChars="0"/>
        <w:rPr>
          <w:b/>
          <w:sz w:val="32"/>
          <w:szCs w:val="32"/>
        </w:rPr>
      </w:pPr>
    </w:p>
    <w:p>
      <w:pPr>
        <w:ind w:firstLine="0" w:firstLineChars="0"/>
        <w:rPr>
          <w:b/>
          <w:sz w:val="32"/>
          <w:szCs w:val="32"/>
        </w:rPr>
      </w:pPr>
    </w:p>
    <w:p>
      <w:pPr>
        <w:ind w:firstLine="0" w:firstLineChars="0"/>
        <w:rPr>
          <w:b/>
          <w:sz w:val="32"/>
          <w:szCs w:val="32"/>
        </w:rPr>
      </w:pPr>
    </w:p>
    <w:p>
      <w:pPr>
        <w:ind w:firstLine="0" w:firstLineChars="0"/>
        <w:rPr>
          <w:b/>
          <w:sz w:val="32"/>
          <w:szCs w:val="32"/>
        </w:rPr>
      </w:pPr>
    </w:p>
    <w:p>
      <w:pPr>
        <w:ind w:firstLine="0" w:firstLineChars="0"/>
        <w:rPr>
          <w:b/>
          <w:sz w:val="32"/>
          <w:szCs w:val="32"/>
        </w:rPr>
      </w:pPr>
    </w:p>
    <w:p>
      <w:pPr>
        <w:ind w:firstLine="0" w:firstLineChars="0"/>
        <w:rPr>
          <w:b/>
          <w:sz w:val="32"/>
          <w:szCs w:val="32"/>
        </w:rPr>
      </w:pPr>
    </w:p>
    <w:p>
      <w:pPr>
        <w:ind w:firstLine="0" w:firstLineChars="0"/>
        <w:rPr>
          <w:b/>
          <w:sz w:val="32"/>
          <w:szCs w:val="32"/>
        </w:rPr>
      </w:pPr>
    </w:p>
    <w:p>
      <w:pPr>
        <w:ind w:firstLine="643"/>
        <w:jc w:val="center"/>
        <w:rPr>
          <w:b/>
          <w:sz w:val="32"/>
          <w:szCs w:val="32"/>
        </w:rPr>
      </w:pPr>
    </w:p>
    <w:p>
      <w:pPr>
        <w:ind w:firstLine="643"/>
        <w:jc w:val="center"/>
        <w:rPr>
          <w:b/>
          <w:sz w:val="32"/>
          <w:szCs w:val="32"/>
        </w:rPr>
      </w:pPr>
    </w:p>
    <w:p>
      <w:pPr>
        <w:ind w:firstLine="643"/>
        <w:jc w:val="center"/>
        <w:rPr>
          <w:b/>
          <w:sz w:val="32"/>
          <w:szCs w:val="32"/>
        </w:rPr>
      </w:pPr>
    </w:p>
    <w:p>
      <w:pPr>
        <w:ind w:firstLine="643"/>
        <w:jc w:val="center"/>
        <w:rPr>
          <w:b/>
          <w:sz w:val="32"/>
          <w:szCs w:val="32"/>
        </w:rPr>
      </w:pPr>
    </w:p>
    <w:p>
      <w:pPr>
        <w:ind w:firstLine="643"/>
        <w:jc w:val="center"/>
        <w:rPr>
          <w:rFonts w:hint="eastAsia"/>
          <w:b/>
          <w:sz w:val="32"/>
          <w:szCs w:val="32"/>
        </w:rPr>
      </w:pPr>
      <w:r>
        <w:rPr>
          <w:b/>
          <w:sz w:val="32"/>
          <w:szCs w:val="32"/>
        </w:rPr>
        <w:t>项目名称</w:t>
      </w:r>
      <w:r>
        <w:rPr>
          <w:b/>
          <w:i/>
          <w:sz w:val="32"/>
          <w:szCs w:val="32"/>
        </w:rPr>
        <w:t>：</w:t>
      </w:r>
      <w:r>
        <w:rPr>
          <w:rFonts w:hint="eastAsia"/>
          <w:b/>
          <w:sz w:val="32"/>
          <w:szCs w:val="32"/>
        </w:rPr>
        <w:t>沧州鑫拓煤矿机械有限公司年产4000吨煤</w:t>
      </w:r>
    </w:p>
    <w:p>
      <w:pPr>
        <w:ind w:firstLine="2249" w:firstLineChars="700"/>
        <w:jc w:val="both"/>
        <w:rPr>
          <w:b/>
          <w:bCs/>
          <w:sz w:val="32"/>
          <w:szCs w:val="32"/>
        </w:rPr>
      </w:pPr>
      <w:bookmarkStart w:id="63" w:name="_GoBack"/>
      <w:bookmarkEnd w:id="63"/>
      <w:r>
        <w:rPr>
          <w:rFonts w:hint="eastAsia"/>
          <w:b/>
          <w:sz w:val="32"/>
          <w:szCs w:val="32"/>
        </w:rPr>
        <w:t>矿机械结构件项目</w:t>
      </w:r>
    </w:p>
    <w:p>
      <w:pPr>
        <w:ind w:firstLine="639" w:firstLineChars="199"/>
        <w:rPr>
          <w:b/>
          <w:sz w:val="32"/>
          <w:szCs w:val="32"/>
        </w:rPr>
      </w:pPr>
      <w:r>
        <w:rPr>
          <w:b/>
          <w:sz w:val="32"/>
          <w:szCs w:val="32"/>
        </w:rPr>
        <w:t>项目法人代表</w:t>
      </w:r>
      <w:r>
        <w:rPr>
          <w:rFonts w:hint="eastAsia"/>
          <w:b/>
          <w:sz w:val="32"/>
          <w:szCs w:val="32"/>
        </w:rPr>
        <w:t>：</w:t>
      </w:r>
      <w:r>
        <w:rPr>
          <w:rFonts w:hint="eastAsia"/>
          <w:b/>
          <w:sz w:val="32"/>
          <w:szCs w:val="32"/>
          <w:lang w:val="en-US" w:eastAsia="zh-CN"/>
        </w:rPr>
        <w:t>金秋生</w:t>
      </w:r>
    </w:p>
    <w:p>
      <w:pPr>
        <w:ind w:firstLine="643"/>
        <w:rPr>
          <w:b/>
          <w:sz w:val="32"/>
          <w:szCs w:val="32"/>
        </w:rPr>
      </w:pPr>
      <w:r>
        <w:rPr>
          <w:b/>
          <w:sz w:val="32"/>
          <w:szCs w:val="32"/>
        </w:rPr>
        <w:t>单位</w:t>
      </w:r>
      <w:r>
        <w:rPr>
          <w:rFonts w:hint="eastAsia"/>
          <w:b/>
          <w:sz w:val="32"/>
          <w:szCs w:val="32"/>
        </w:rPr>
        <w:t>名称</w:t>
      </w:r>
      <w:r>
        <w:rPr>
          <w:b/>
          <w:sz w:val="32"/>
          <w:szCs w:val="32"/>
        </w:rPr>
        <w:t>（盖章）：</w:t>
      </w:r>
      <w:r>
        <w:rPr>
          <w:rFonts w:hint="eastAsia" w:hAnsi="宋体"/>
          <w:b/>
          <w:sz w:val="32"/>
          <w:szCs w:val="32"/>
        </w:rPr>
        <w:t>沧州鑫拓煤矿机械有限公司</w:t>
      </w:r>
    </w:p>
    <w:p>
      <w:pPr>
        <w:ind w:firstLine="643"/>
        <w:rPr>
          <w:rFonts w:hAnsi="宋体"/>
          <w:b/>
          <w:sz w:val="32"/>
          <w:szCs w:val="32"/>
        </w:rPr>
      </w:pPr>
      <w:r>
        <w:rPr>
          <w:rFonts w:hAnsi="宋体"/>
          <w:b/>
          <w:sz w:val="32"/>
          <w:szCs w:val="32"/>
        </w:rPr>
        <w:t>编制单位：</w:t>
      </w:r>
      <w:r>
        <w:rPr>
          <w:rFonts w:hint="eastAsia" w:hAnsi="宋体"/>
          <w:b/>
          <w:sz w:val="32"/>
          <w:szCs w:val="32"/>
        </w:rPr>
        <w:t>沧州鑫拓煤矿机械有限公司</w:t>
      </w:r>
    </w:p>
    <w:p>
      <w:pPr>
        <w:ind w:firstLine="643"/>
        <w:rPr>
          <w:rFonts w:hAnsi="宋体"/>
          <w:b/>
          <w:sz w:val="32"/>
          <w:szCs w:val="32"/>
        </w:rPr>
      </w:pPr>
      <w:r>
        <w:rPr>
          <w:rFonts w:hAnsi="宋体"/>
          <w:b/>
          <w:sz w:val="32"/>
          <w:szCs w:val="32"/>
        </w:rPr>
        <w:t>编制日期：201</w:t>
      </w:r>
      <w:r>
        <w:rPr>
          <w:rFonts w:hint="eastAsia" w:hAnsi="宋体"/>
          <w:b/>
          <w:sz w:val="32"/>
          <w:szCs w:val="32"/>
        </w:rPr>
        <w:t>8</w:t>
      </w:r>
      <w:r>
        <w:rPr>
          <w:rFonts w:hAnsi="宋体"/>
          <w:b/>
          <w:sz w:val="32"/>
          <w:szCs w:val="32"/>
        </w:rPr>
        <w:t>年</w:t>
      </w:r>
      <w:r>
        <w:rPr>
          <w:rFonts w:hint="eastAsia" w:hAnsi="宋体"/>
          <w:b/>
          <w:sz w:val="32"/>
          <w:szCs w:val="32"/>
        </w:rPr>
        <w:t>2</w:t>
      </w:r>
      <w:r>
        <w:rPr>
          <w:rFonts w:hAnsi="宋体"/>
          <w:b/>
          <w:sz w:val="32"/>
          <w:szCs w:val="32"/>
        </w:rPr>
        <w:t>月</w:t>
      </w:r>
    </w:p>
    <w:p>
      <w:pPr>
        <w:ind w:firstLine="643"/>
        <w:rPr>
          <w:rFonts w:hAnsi="宋体"/>
          <w:b/>
          <w:sz w:val="32"/>
          <w:szCs w:val="32"/>
        </w:rPr>
      </w:pPr>
    </w:p>
    <w:p>
      <w:pPr>
        <w:ind w:firstLine="643"/>
        <w:rPr>
          <w:rFonts w:hAnsi="宋体"/>
          <w:b/>
          <w:sz w:val="32"/>
          <w:szCs w:val="32"/>
        </w:rPr>
      </w:pPr>
    </w:p>
    <w:p>
      <w:pPr>
        <w:pStyle w:val="18"/>
        <w:ind w:firstLine="562"/>
        <w:jc w:val="center"/>
        <w:rPr>
          <w:b/>
          <w:sz w:val="28"/>
          <w:szCs w:val="28"/>
        </w:rPr>
      </w:pPr>
      <w:r>
        <w:rPr>
          <w:rFonts w:hint="eastAsia"/>
          <w:b/>
          <w:sz w:val="28"/>
          <w:szCs w:val="28"/>
        </w:rPr>
        <w:t>目    录</w:t>
      </w:r>
    </w:p>
    <w:p>
      <w:pPr>
        <w:pStyle w:val="18"/>
        <w:tabs>
          <w:tab w:val="right" w:leader="dot" w:pos="8296"/>
        </w:tabs>
        <w:rPr>
          <w:rFonts w:asciiTheme="minorHAnsi" w:hAnsiTheme="minorHAnsi" w:cstheme="minorBidi"/>
          <w:sz w:val="21"/>
          <w:szCs w:val="22"/>
        </w:rPr>
      </w:pPr>
      <w:r>
        <w:rPr>
          <w:szCs w:val="21"/>
        </w:rPr>
        <w:fldChar w:fldCharType="begin"/>
      </w:r>
      <w:r>
        <w:rPr>
          <w:szCs w:val="21"/>
        </w:rPr>
        <w:instrText xml:space="preserve"> </w:instrText>
      </w:r>
      <w:r>
        <w:rPr>
          <w:rFonts w:hint="eastAsia"/>
          <w:szCs w:val="21"/>
        </w:rPr>
        <w:instrText xml:space="preserve">TOC \o "1-2" \h \z \u</w:instrText>
      </w:r>
      <w:r>
        <w:rPr>
          <w:szCs w:val="21"/>
        </w:rPr>
        <w:instrText xml:space="preserve"> </w:instrText>
      </w:r>
      <w:r>
        <w:rPr>
          <w:szCs w:val="21"/>
        </w:rPr>
        <w:fldChar w:fldCharType="separate"/>
      </w:r>
      <w:r>
        <w:fldChar w:fldCharType="begin"/>
      </w:r>
      <w:r>
        <w:instrText xml:space="preserve"> HYPERLINK \l "_Toc505550581" </w:instrText>
      </w:r>
      <w:r>
        <w:fldChar w:fldCharType="separate"/>
      </w:r>
      <w:r>
        <w:rPr>
          <w:rStyle w:val="25"/>
          <w:rFonts w:hint="eastAsia"/>
        </w:rPr>
        <w:t>一、项目概况</w:t>
      </w:r>
      <w:r>
        <w:tab/>
      </w:r>
      <w:r>
        <w:fldChar w:fldCharType="begin"/>
      </w:r>
      <w:r>
        <w:instrText xml:space="preserve"> PAGEREF _Toc505550581 \h </w:instrText>
      </w:r>
      <w:r>
        <w:fldChar w:fldCharType="separate"/>
      </w:r>
      <w:r>
        <w:t>4</w:t>
      </w:r>
      <w:r>
        <w:fldChar w:fldCharType="end"/>
      </w:r>
      <w:r>
        <w:fldChar w:fldCharType="end"/>
      </w:r>
    </w:p>
    <w:p>
      <w:pPr>
        <w:pStyle w:val="18"/>
        <w:tabs>
          <w:tab w:val="right" w:leader="dot" w:pos="8296"/>
        </w:tabs>
        <w:rPr>
          <w:rFonts w:asciiTheme="minorHAnsi" w:hAnsiTheme="minorHAnsi" w:cstheme="minorBidi"/>
          <w:sz w:val="21"/>
          <w:szCs w:val="22"/>
        </w:rPr>
      </w:pPr>
      <w:r>
        <w:fldChar w:fldCharType="begin"/>
      </w:r>
      <w:r>
        <w:instrText xml:space="preserve"> HYPERLINK \l "_Toc505550582" </w:instrText>
      </w:r>
      <w:r>
        <w:fldChar w:fldCharType="separate"/>
      </w:r>
      <w:r>
        <w:rPr>
          <w:rStyle w:val="25"/>
          <w:rFonts w:hint="eastAsia"/>
        </w:rPr>
        <w:t>二、建设项目验收依据</w:t>
      </w:r>
      <w:r>
        <w:tab/>
      </w:r>
      <w:r>
        <w:fldChar w:fldCharType="begin"/>
      </w:r>
      <w:r>
        <w:instrText xml:space="preserve"> PAGEREF _Toc505550582 \h </w:instrText>
      </w:r>
      <w:r>
        <w:fldChar w:fldCharType="separate"/>
      </w:r>
      <w:r>
        <w:t>5</w:t>
      </w:r>
      <w:r>
        <w:fldChar w:fldCharType="end"/>
      </w:r>
      <w:r>
        <w:fldChar w:fldCharType="end"/>
      </w:r>
    </w:p>
    <w:p>
      <w:pPr>
        <w:pStyle w:val="18"/>
        <w:tabs>
          <w:tab w:val="right" w:leader="dot" w:pos="8296"/>
        </w:tabs>
        <w:rPr>
          <w:rFonts w:asciiTheme="minorHAnsi" w:hAnsiTheme="minorHAnsi" w:cstheme="minorBidi"/>
          <w:sz w:val="21"/>
          <w:szCs w:val="22"/>
        </w:rPr>
      </w:pPr>
      <w:r>
        <w:fldChar w:fldCharType="begin"/>
      </w:r>
      <w:r>
        <w:instrText xml:space="preserve"> HYPERLINK \l "_Toc505550583" </w:instrText>
      </w:r>
      <w:r>
        <w:fldChar w:fldCharType="separate"/>
      </w:r>
      <w:r>
        <w:rPr>
          <w:rStyle w:val="25"/>
          <w:rFonts w:hint="eastAsia"/>
        </w:rPr>
        <w:t>三、环评主要内容与实际建设情况</w:t>
      </w:r>
      <w:r>
        <w:tab/>
      </w:r>
      <w:r>
        <w:fldChar w:fldCharType="begin"/>
      </w:r>
      <w:r>
        <w:instrText xml:space="preserve"> PAGEREF _Toc505550583 \h </w:instrText>
      </w:r>
      <w:r>
        <w:fldChar w:fldCharType="separate"/>
      </w:r>
      <w:r>
        <w:t>5</w:t>
      </w:r>
      <w:r>
        <w:fldChar w:fldCharType="end"/>
      </w:r>
      <w:r>
        <w:fldChar w:fldCharType="end"/>
      </w:r>
    </w:p>
    <w:p>
      <w:pPr>
        <w:pStyle w:val="20"/>
        <w:tabs>
          <w:tab w:val="right" w:leader="dot" w:pos="8296"/>
        </w:tabs>
        <w:ind w:left="480"/>
        <w:rPr>
          <w:rFonts w:asciiTheme="minorHAnsi" w:hAnsiTheme="minorHAnsi" w:cstheme="minorBidi"/>
          <w:sz w:val="21"/>
          <w:szCs w:val="22"/>
        </w:rPr>
      </w:pPr>
      <w:r>
        <w:fldChar w:fldCharType="begin"/>
      </w:r>
      <w:r>
        <w:instrText xml:space="preserve"> HYPERLINK \l "_Toc505550584" </w:instrText>
      </w:r>
      <w:r>
        <w:fldChar w:fldCharType="separate"/>
      </w:r>
      <w:r>
        <w:rPr>
          <w:rStyle w:val="25"/>
        </w:rPr>
        <w:t xml:space="preserve">3.1 </w:t>
      </w:r>
      <w:r>
        <w:rPr>
          <w:rStyle w:val="25"/>
          <w:rFonts w:hint="eastAsia"/>
        </w:rPr>
        <w:t>项目基本情况</w:t>
      </w:r>
      <w:r>
        <w:tab/>
      </w:r>
      <w:r>
        <w:fldChar w:fldCharType="begin"/>
      </w:r>
      <w:r>
        <w:instrText xml:space="preserve"> PAGEREF _Toc505550584 \h </w:instrText>
      </w:r>
      <w:r>
        <w:fldChar w:fldCharType="separate"/>
      </w:r>
      <w:r>
        <w:t>5</w:t>
      </w:r>
      <w:r>
        <w:fldChar w:fldCharType="end"/>
      </w:r>
      <w:r>
        <w:fldChar w:fldCharType="end"/>
      </w:r>
    </w:p>
    <w:p>
      <w:pPr>
        <w:pStyle w:val="20"/>
        <w:tabs>
          <w:tab w:val="right" w:leader="dot" w:pos="8296"/>
        </w:tabs>
        <w:ind w:left="480"/>
        <w:rPr>
          <w:rFonts w:asciiTheme="minorHAnsi" w:hAnsiTheme="minorHAnsi" w:cstheme="minorBidi"/>
          <w:sz w:val="21"/>
          <w:szCs w:val="22"/>
        </w:rPr>
      </w:pPr>
      <w:r>
        <w:fldChar w:fldCharType="begin"/>
      </w:r>
      <w:r>
        <w:instrText xml:space="preserve"> HYPERLINK \l "_Toc505550585" </w:instrText>
      </w:r>
      <w:r>
        <w:fldChar w:fldCharType="separate"/>
      </w:r>
      <w:r>
        <w:rPr>
          <w:rStyle w:val="25"/>
        </w:rPr>
        <w:t xml:space="preserve">3.2 </w:t>
      </w:r>
      <w:r>
        <w:rPr>
          <w:rStyle w:val="25"/>
          <w:rFonts w:hint="eastAsia"/>
        </w:rPr>
        <w:t>主要生产设备</w:t>
      </w:r>
      <w:r>
        <w:tab/>
      </w:r>
      <w:r>
        <w:fldChar w:fldCharType="begin"/>
      </w:r>
      <w:r>
        <w:instrText xml:space="preserve"> PAGEREF _Toc505550585 \h </w:instrText>
      </w:r>
      <w:r>
        <w:fldChar w:fldCharType="separate"/>
      </w:r>
      <w:r>
        <w:t>6</w:t>
      </w:r>
      <w:r>
        <w:fldChar w:fldCharType="end"/>
      </w:r>
      <w:r>
        <w:fldChar w:fldCharType="end"/>
      </w:r>
    </w:p>
    <w:p>
      <w:pPr>
        <w:pStyle w:val="20"/>
        <w:tabs>
          <w:tab w:val="right" w:leader="dot" w:pos="8296"/>
        </w:tabs>
        <w:ind w:left="480"/>
        <w:rPr>
          <w:rFonts w:asciiTheme="minorHAnsi" w:hAnsiTheme="minorHAnsi" w:cstheme="minorBidi"/>
          <w:sz w:val="21"/>
          <w:szCs w:val="22"/>
        </w:rPr>
      </w:pPr>
      <w:r>
        <w:fldChar w:fldCharType="begin"/>
      </w:r>
      <w:r>
        <w:instrText xml:space="preserve"> HYPERLINK \l "_Toc505550586" </w:instrText>
      </w:r>
      <w:r>
        <w:fldChar w:fldCharType="separate"/>
      </w:r>
      <w:r>
        <w:rPr>
          <w:rStyle w:val="25"/>
        </w:rPr>
        <w:t>3.3</w:t>
      </w:r>
      <w:r>
        <w:rPr>
          <w:rStyle w:val="25"/>
          <w:rFonts w:hint="eastAsia"/>
        </w:rPr>
        <w:t>主要原辅材料消耗</w:t>
      </w:r>
      <w:r>
        <w:tab/>
      </w:r>
      <w:r>
        <w:fldChar w:fldCharType="begin"/>
      </w:r>
      <w:r>
        <w:instrText xml:space="preserve"> PAGEREF _Toc505550586 \h </w:instrText>
      </w:r>
      <w:r>
        <w:fldChar w:fldCharType="separate"/>
      </w:r>
      <w:r>
        <w:t>7</w:t>
      </w:r>
      <w:r>
        <w:fldChar w:fldCharType="end"/>
      </w:r>
      <w:r>
        <w:fldChar w:fldCharType="end"/>
      </w:r>
    </w:p>
    <w:p>
      <w:pPr>
        <w:pStyle w:val="20"/>
        <w:tabs>
          <w:tab w:val="right" w:leader="dot" w:pos="8296"/>
        </w:tabs>
        <w:ind w:left="480"/>
        <w:rPr>
          <w:rFonts w:asciiTheme="minorHAnsi" w:hAnsiTheme="minorHAnsi" w:cstheme="minorBidi"/>
          <w:sz w:val="21"/>
          <w:szCs w:val="22"/>
        </w:rPr>
      </w:pPr>
      <w:r>
        <w:fldChar w:fldCharType="begin"/>
      </w:r>
      <w:r>
        <w:instrText xml:space="preserve"> HYPERLINK \l "_Toc505550587" </w:instrText>
      </w:r>
      <w:r>
        <w:fldChar w:fldCharType="separate"/>
      </w:r>
      <w:r>
        <w:rPr>
          <w:rStyle w:val="25"/>
        </w:rPr>
        <w:t>3.4</w:t>
      </w:r>
      <w:r>
        <w:rPr>
          <w:rStyle w:val="25"/>
          <w:rFonts w:hint="eastAsia"/>
        </w:rPr>
        <w:t>项目生产工艺流程及产排污节点</w:t>
      </w:r>
      <w:r>
        <w:tab/>
      </w:r>
      <w:r>
        <w:fldChar w:fldCharType="begin"/>
      </w:r>
      <w:r>
        <w:instrText xml:space="preserve"> PAGEREF _Toc505550587 \h </w:instrText>
      </w:r>
      <w:r>
        <w:fldChar w:fldCharType="separate"/>
      </w:r>
      <w:r>
        <w:t>7</w:t>
      </w:r>
      <w:r>
        <w:fldChar w:fldCharType="end"/>
      </w:r>
      <w:r>
        <w:fldChar w:fldCharType="end"/>
      </w:r>
    </w:p>
    <w:p>
      <w:pPr>
        <w:pStyle w:val="18"/>
        <w:tabs>
          <w:tab w:val="right" w:leader="dot" w:pos="8296"/>
        </w:tabs>
        <w:rPr>
          <w:rFonts w:asciiTheme="minorHAnsi" w:hAnsiTheme="minorHAnsi" w:cstheme="minorBidi"/>
          <w:sz w:val="21"/>
          <w:szCs w:val="22"/>
        </w:rPr>
      </w:pPr>
      <w:r>
        <w:fldChar w:fldCharType="begin"/>
      </w:r>
      <w:r>
        <w:instrText xml:space="preserve"> HYPERLINK \l "_Toc505550588" </w:instrText>
      </w:r>
      <w:r>
        <w:fldChar w:fldCharType="separate"/>
      </w:r>
      <w:r>
        <w:rPr>
          <w:rStyle w:val="25"/>
          <w:rFonts w:hint="eastAsia"/>
        </w:rPr>
        <w:t>四、建设项目环评批复及实际建成对比、环境保护</w:t>
      </w:r>
      <w:r>
        <w:rPr>
          <w:rStyle w:val="25"/>
        </w:rPr>
        <w:t>“</w:t>
      </w:r>
      <w:r>
        <w:rPr>
          <w:rStyle w:val="25"/>
          <w:rFonts w:hint="eastAsia"/>
        </w:rPr>
        <w:t>三同时</w:t>
      </w:r>
      <w:r>
        <w:rPr>
          <w:rStyle w:val="25"/>
        </w:rPr>
        <w:t>”</w:t>
      </w:r>
      <w:r>
        <w:rPr>
          <w:rStyle w:val="25"/>
          <w:rFonts w:hint="eastAsia"/>
        </w:rPr>
        <w:t>验收一览表</w:t>
      </w:r>
      <w:r>
        <w:tab/>
      </w:r>
      <w:r>
        <w:fldChar w:fldCharType="begin"/>
      </w:r>
      <w:r>
        <w:instrText xml:space="preserve"> PAGEREF _Toc505550588 \h </w:instrText>
      </w:r>
      <w:r>
        <w:fldChar w:fldCharType="separate"/>
      </w:r>
      <w:r>
        <w:t>8</w:t>
      </w:r>
      <w:r>
        <w:fldChar w:fldCharType="end"/>
      </w:r>
      <w:r>
        <w:fldChar w:fldCharType="end"/>
      </w:r>
    </w:p>
    <w:p>
      <w:pPr>
        <w:pStyle w:val="18"/>
        <w:tabs>
          <w:tab w:val="right" w:leader="dot" w:pos="8296"/>
        </w:tabs>
        <w:rPr>
          <w:rFonts w:asciiTheme="minorHAnsi" w:hAnsiTheme="minorHAnsi" w:cstheme="minorBidi"/>
          <w:sz w:val="21"/>
          <w:szCs w:val="22"/>
        </w:rPr>
      </w:pPr>
      <w:r>
        <w:fldChar w:fldCharType="begin"/>
      </w:r>
      <w:r>
        <w:instrText xml:space="preserve"> HYPERLINK \l "_Toc505550589" </w:instrText>
      </w:r>
      <w:r>
        <w:fldChar w:fldCharType="separate"/>
      </w:r>
      <w:r>
        <w:rPr>
          <w:rStyle w:val="25"/>
          <w:rFonts w:hint="eastAsia"/>
        </w:rPr>
        <w:t>五、环评主要结论及审批部门审批决定</w:t>
      </w:r>
      <w:r>
        <w:tab/>
      </w:r>
      <w:r>
        <w:fldChar w:fldCharType="begin"/>
      </w:r>
      <w:r>
        <w:instrText xml:space="preserve"> PAGEREF _Toc505550589 \h </w:instrText>
      </w:r>
      <w:r>
        <w:fldChar w:fldCharType="separate"/>
      </w:r>
      <w:r>
        <w:t>9</w:t>
      </w:r>
      <w:r>
        <w:fldChar w:fldCharType="end"/>
      </w:r>
      <w:r>
        <w:fldChar w:fldCharType="end"/>
      </w:r>
    </w:p>
    <w:p>
      <w:pPr>
        <w:pStyle w:val="20"/>
        <w:tabs>
          <w:tab w:val="right" w:leader="dot" w:pos="8296"/>
        </w:tabs>
        <w:ind w:left="480"/>
        <w:rPr>
          <w:rFonts w:asciiTheme="minorHAnsi" w:hAnsiTheme="minorHAnsi" w:cstheme="minorBidi"/>
          <w:sz w:val="21"/>
          <w:szCs w:val="22"/>
        </w:rPr>
      </w:pPr>
      <w:r>
        <w:fldChar w:fldCharType="begin"/>
      </w:r>
      <w:r>
        <w:instrText xml:space="preserve"> HYPERLINK \l "_Toc505550590" </w:instrText>
      </w:r>
      <w:r>
        <w:fldChar w:fldCharType="separate"/>
      </w:r>
      <w:r>
        <w:rPr>
          <w:rStyle w:val="25"/>
        </w:rPr>
        <w:t xml:space="preserve">5.1 </w:t>
      </w:r>
      <w:r>
        <w:rPr>
          <w:rStyle w:val="25"/>
          <w:rFonts w:hint="eastAsia"/>
        </w:rPr>
        <w:t>环评主要结论</w:t>
      </w:r>
      <w:r>
        <w:tab/>
      </w:r>
      <w:r>
        <w:fldChar w:fldCharType="begin"/>
      </w:r>
      <w:r>
        <w:instrText xml:space="preserve"> PAGEREF _Toc505550590 \h </w:instrText>
      </w:r>
      <w:r>
        <w:fldChar w:fldCharType="separate"/>
      </w:r>
      <w:r>
        <w:t>9</w:t>
      </w:r>
      <w:r>
        <w:fldChar w:fldCharType="end"/>
      </w:r>
      <w:r>
        <w:fldChar w:fldCharType="end"/>
      </w:r>
    </w:p>
    <w:p>
      <w:pPr>
        <w:pStyle w:val="20"/>
        <w:tabs>
          <w:tab w:val="right" w:leader="dot" w:pos="8296"/>
        </w:tabs>
        <w:ind w:left="480"/>
        <w:rPr>
          <w:rFonts w:asciiTheme="minorHAnsi" w:hAnsiTheme="minorHAnsi" w:cstheme="minorBidi"/>
          <w:sz w:val="21"/>
          <w:szCs w:val="22"/>
        </w:rPr>
      </w:pPr>
      <w:r>
        <w:fldChar w:fldCharType="begin"/>
      </w:r>
      <w:r>
        <w:instrText xml:space="preserve"> HYPERLINK \l "_Toc505550591" </w:instrText>
      </w:r>
      <w:r>
        <w:fldChar w:fldCharType="separate"/>
      </w:r>
      <w:r>
        <w:rPr>
          <w:rStyle w:val="25"/>
        </w:rPr>
        <w:t>5.2</w:t>
      </w:r>
      <w:r>
        <w:rPr>
          <w:rStyle w:val="25"/>
          <w:rFonts w:hint="eastAsia"/>
        </w:rPr>
        <w:t>环评批复主要内容</w:t>
      </w:r>
      <w:r>
        <w:tab/>
      </w:r>
      <w:r>
        <w:fldChar w:fldCharType="begin"/>
      </w:r>
      <w:r>
        <w:instrText xml:space="preserve"> PAGEREF _Toc505550591 \h </w:instrText>
      </w:r>
      <w:r>
        <w:fldChar w:fldCharType="separate"/>
      </w:r>
      <w:r>
        <w:t>10</w:t>
      </w:r>
      <w:r>
        <w:fldChar w:fldCharType="end"/>
      </w:r>
      <w:r>
        <w:fldChar w:fldCharType="end"/>
      </w:r>
    </w:p>
    <w:p>
      <w:pPr>
        <w:pStyle w:val="18"/>
        <w:tabs>
          <w:tab w:val="right" w:leader="dot" w:pos="8296"/>
        </w:tabs>
        <w:rPr>
          <w:rFonts w:asciiTheme="minorHAnsi" w:hAnsiTheme="minorHAnsi" w:cstheme="minorBidi"/>
          <w:sz w:val="21"/>
          <w:szCs w:val="22"/>
        </w:rPr>
      </w:pPr>
      <w:r>
        <w:fldChar w:fldCharType="begin"/>
      </w:r>
      <w:r>
        <w:instrText xml:space="preserve"> HYPERLINK \l "_Toc505550592" </w:instrText>
      </w:r>
      <w:r>
        <w:fldChar w:fldCharType="separate"/>
      </w:r>
      <w:r>
        <w:rPr>
          <w:rStyle w:val="25"/>
          <w:rFonts w:hint="eastAsia"/>
        </w:rPr>
        <w:t>六、环境保护措施落实情况</w:t>
      </w:r>
      <w:r>
        <w:tab/>
      </w:r>
      <w:r>
        <w:fldChar w:fldCharType="begin"/>
      </w:r>
      <w:r>
        <w:instrText xml:space="preserve"> PAGEREF _Toc505550592 \h </w:instrText>
      </w:r>
      <w:r>
        <w:fldChar w:fldCharType="separate"/>
      </w:r>
      <w:r>
        <w:t>11</w:t>
      </w:r>
      <w:r>
        <w:fldChar w:fldCharType="end"/>
      </w:r>
      <w:r>
        <w:fldChar w:fldCharType="end"/>
      </w:r>
    </w:p>
    <w:p>
      <w:pPr>
        <w:pStyle w:val="20"/>
        <w:tabs>
          <w:tab w:val="right" w:leader="dot" w:pos="8296"/>
        </w:tabs>
        <w:ind w:left="480"/>
        <w:rPr>
          <w:rFonts w:asciiTheme="minorHAnsi" w:hAnsiTheme="minorHAnsi" w:cstheme="minorBidi"/>
          <w:sz w:val="21"/>
          <w:szCs w:val="22"/>
        </w:rPr>
      </w:pPr>
      <w:r>
        <w:fldChar w:fldCharType="begin"/>
      </w:r>
      <w:r>
        <w:instrText xml:space="preserve"> HYPERLINK \l "_Toc505550593" </w:instrText>
      </w:r>
      <w:r>
        <w:fldChar w:fldCharType="separate"/>
      </w:r>
      <w:r>
        <w:rPr>
          <w:rStyle w:val="25"/>
        </w:rPr>
        <w:t>6.1</w:t>
      </w:r>
      <w:r>
        <w:rPr>
          <w:rStyle w:val="25"/>
          <w:rFonts w:hint="eastAsia"/>
        </w:rPr>
        <w:t>废气</w:t>
      </w:r>
      <w:r>
        <w:tab/>
      </w:r>
      <w:r>
        <w:fldChar w:fldCharType="begin"/>
      </w:r>
      <w:r>
        <w:instrText xml:space="preserve"> PAGEREF _Toc505550593 \h </w:instrText>
      </w:r>
      <w:r>
        <w:fldChar w:fldCharType="separate"/>
      </w:r>
      <w:r>
        <w:t>11</w:t>
      </w:r>
      <w:r>
        <w:fldChar w:fldCharType="end"/>
      </w:r>
      <w:r>
        <w:fldChar w:fldCharType="end"/>
      </w:r>
    </w:p>
    <w:p>
      <w:pPr>
        <w:pStyle w:val="20"/>
        <w:tabs>
          <w:tab w:val="right" w:leader="dot" w:pos="8296"/>
        </w:tabs>
        <w:ind w:left="480"/>
        <w:rPr>
          <w:rFonts w:asciiTheme="minorHAnsi" w:hAnsiTheme="minorHAnsi" w:cstheme="minorBidi"/>
          <w:sz w:val="21"/>
          <w:szCs w:val="22"/>
        </w:rPr>
      </w:pPr>
      <w:r>
        <w:fldChar w:fldCharType="begin"/>
      </w:r>
      <w:r>
        <w:instrText xml:space="preserve"> HYPERLINK \l "_Toc505550594" </w:instrText>
      </w:r>
      <w:r>
        <w:fldChar w:fldCharType="separate"/>
      </w:r>
      <w:r>
        <w:rPr>
          <w:rStyle w:val="25"/>
        </w:rPr>
        <w:t>6.2</w:t>
      </w:r>
      <w:r>
        <w:rPr>
          <w:rStyle w:val="25"/>
          <w:rFonts w:hint="eastAsia"/>
        </w:rPr>
        <w:t>废水</w:t>
      </w:r>
      <w:r>
        <w:tab/>
      </w:r>
      <w:r>
        <w:fldChar w:fldCharType="begin"/>
      </w:r>
      <w:r>
        <w:instrText xml:space="preserve"> PAGEREF _Toc505550594 \h </w:instrText>
      </w:r>
      <w:r>
        <w:fldChar w:fldCharType="separate"/>
      </w:r>
      <w:r>
        <w:t>11</w:t>
      </w:r>
      <w:r>
        <w:fldChar w:fldCharType="end"/>
      </w:r>
      <w:r>
        <w:fldChar w:fldCharType="end"/>
      </w:r>
    </w:p>
    <w:p>
      <w:pPr>
        <w:pStyle w:val="20"/>
        <w:tabs>
          <w:tab w:val="right" w:leader="dot" w:pos="8296"/>
        </w:tabs>
        <w:ind w:left="480"/>
        <w:rPr>
          <w:rFonts w:asciiTheme="minorHAnsi" w:hAnsiTheme="minorHAnsi" w:cstheme="minorBidi"/>
          <w:sz w:val="21"/>
          <w:szCs w:val="22"/>
        </w:rPr>
      </w:pPr>
      <w:r>
        <w:fldChar w:fldCharType="begin"/>
      </w:r>
      <w:r>
        <w:instrText xml:space="preserve"> HYPERLINK \l "_Toc505550595" </w:instrText>
      </w:r>
      <w:r>
        <w:fldChar w:fldCharType="separate"/>
      </w:r>
      <w:r>
        <w:rPr>
          <w:rStyle w:val="25"/>
        </w:rPr>
        <w:t>6.3</w:t>
      </w:r>
      <w:r>
        <w:rPr>
          <w:rStyle w:val="25"/>
          <w:rFonts w:hint="eastAsia"/>
        </w:rPr>
        <w:t>噪声</w:t>
      </w:r>
      <w:r>
        <w:tab/>
      </w:r>
      <w:r>
        <w:fldChar w:fldCharType="begin"/>
      </w:r>
      <w:r>
        <w:instrText xml:space="preserve"> PAGEREF _Toc505550595 \h </w:instrText>
      </w:r>
      <w:r>
        <w:fldChar w:fldCharType="separate"/>
      </w:r>
      <w:r>
        <w:t>11</w:t>
      </w:r>
      <w:r>
        <w:fldChar w:fldCharType="end"/>
      </w:r>
      <w:r>
        <w:fldChar w:fldCharType="end"/>
      </w:r>
    </w:p>
    <w:p>
      <w:pPr>
        <w:pStyle w:val="20"/>
        <w:tabs>
          <w:tab w:val="right" w:leader="dot" w:pos="8296"/>
        </w:tabs>
        <w:ind w:left="480"/>
        <w:rPr>
          <w:rFonts w:asciiTheme="minorHAnsi" w:hAnsiTheme="minorHAnsi" w:cstheme="minorBidi"/>
          <w:sz w:val="21"/>
          <w:szCs w:val="22"/>
        </w:rPr>
      </w:pPr>
      <w:r>
        <w:fldChar w:fldCharType="begin"/>
      </w:r>
      <w:r>
        <w:instrText xml:space="preserve"> HYPERLINK \l "_Toc505550596" </w:instrText>
      </w:r>
      <w:r>
        <w:fldChar w:fldCharType="separate"/>
      </w:r>
      <w:r>
        <w:rPr>
          <w:rStyle w:val="25"/>
        </w:rPr>
        <w:t>6.4</w:t>
      </w:r>
      <w:r>
        <w:rPr>
          <w:rStyle w:val="25"/>
          <w:rFonts w:hint="eastAsia"/>
        </w:rPr>
        <w:t>固废</w:t>
      </w:r>
      <w:r>
        <w:tab/>
      </w:r>
      <w:r>
        <w:fldChar w:fldCharType="begin"/>
      </w:r>
      <w:r>
        <w:instrText xml:space="preserve"> PAGEREF _Toc505550596 \h </w:instrText>
      </w:r>
      <w:r>
        <w:fldChar w:fldCharType="separate"/>
      </w:r>
      <w:r>
        <w:t>11</w:t>
      </w:r>
      <w:r>
        <w:fldChar w:fldCharType="end"/>
      </w:r>
      <w:r>
        <w:fldChar w:fldCharType="end"/>
      </w:r>
    </w:p>
    <w:p>
      <w:pPr>
        <w:pStyle w:val="18"/>
        <w:tabs>
          <w:tab w:val="right" w:leader="dot" w:pos="8296"/>
        </w:tabs>
        <w:rPr>
          <w:rFonts w:asciiTheme="minorHAnsi" w:hAnsiTheme="minorHAnsi" w:cstheme="minorBidi"/>
          <w:sz w:val="21"/>
          <w:szCs w:val="22"/>
        </w:rPr>
      </w:pPr>
      <w:r>
        <w:fldChar w:fldCharType="begin"/>
      </w:r>
      <w:r>
        <w:instrText xml:space="preserve"> HYPERLINK \l "_Toc505550597" </w:instrText>
      </w:r>
      <w:r>
        <w:fldChar w:fldCharType="separate"/>
      </w:r>
      <w:r>
        <w:rPr>
          <w:rStyle w:val="25"/>
          <w:rFonts w:hint="eastAsia"/>
        </w:rPr>
        <w:t>七、验收监测执行标准</w:t>
      </w:r>
      <w:r>
        <w:tab/>
      </w:r>
      <w:r>
        <w:fldChar w:fldCharType="begin"/>
      </w:r>
      <w:r>
        <w:instrText xml:space="preserve"> PAGEREF _Toc505550597 \h </w:instrText>
      </w:r>
      <w:r>
        <w:fldChar w:fldCharType="separate"/>
      </w:r>
      <w:r>
        <w:t>11</w:t>
      </w:r>
      <w:r>
        <w:fldChar w:fldCharType="end"/>
      </w:r>
      <w:r>
        <w:fldChar w:fldCharType="end"/>
      </w:r>
    </w:p>
    <w:p>
      <w:pPr>
        <w:pStyle w:val="20"/>
        <w:tabs>
          <w:tab w:val="right" w:leader="dot" w:pos="8296"/>
        </w:tabs>
        <w:ind w:left="480"/>
        <w:rPr>
          <w:rFonts w:asciiTheme="minorHAnsi" w:hAnsiTheme="minorHAnsi" w:cstheme="minorBidi"/>
          <w:sz w:val="21"/>
          <w:szCs w:val="22"/>
        </w:rPr>
      </w:pPr>
      <w:r>
        <w:fldChar w:fldCharType="begin"/>
      </w:r>
      <w:r>
        <w:instrText xml:space="preserve"> HYPERLINK \l "_Toc505550598" </w:instrText>
      </w:r>
      <w:r>
        <w:fldChar w:fldCharType="separate"/>
      </w:r>
      <w:r>
        <w:rPr>
          <w:rStyle w:val="25"/>
        </w:rPr>
        <w:t xml:space="preserve">7.1 </w:t>
      </w:r>
      <w:r>
        <w:rPr>
          <w:rStyle w:val="25"/>
          <w:rFonts w:hint="eastAsia"/>
        </w:rPr>
        <w:t>废气排放标准</w:t>
      </w:r>
      <w:r>
        <w:tab/>
      </w:r>
      <w:r>
        <w:fldChar w:fldCharType="begin"/>
      </w:r>
      <w:r>
        <w:instrText xml:space="preserve"> PAGEREF _Toc505550598 \h </w:instrText>
      </w:r>
      <w:r>
        <w:fldChar w:fldCharType="separate"/>
      </w:r>
      <w:r>
        <w:t>11</w:t>
      </w:r>
      <w:r>
        <w:fldChar w:fldCharType="end"/>
      </w:r>
      <w:r>
        <w:fldChar w:fldCharType="end"/>
      </w:r>
    </w:p>
    <w:p>
      <w:pPr>
        <w:pStyle w:val="20"/>
        <w:tabs>
          <w:tab w:val="right" w:leader="dot" w:pos="8296"/>
        </w:tabs>
        <w:ind w:left="480"/>
        <w:rPr>
          <w:rFonts w:asciiTheme="minorHAnsi" w:hAnsiTheme="minorHAnsi" w:cstheme="minorBidi"/>
          <w:sz w:val="21"/>
          <w:szCs w:val="22"/>
        </w:rPr>
      </w:pPr>
      <w:r>
        <w:fldChar w:fldCharType="begin"/>
      </w:r>
      <w:r>
        <w:instrText xml:space="preserve"> HYPERLINK \l "_Toc505550599" </w:instrText>
      </w:r>
      <w:r>
        <w:fldChar w:fldCharType="separate"/>
      </w:r>
      <w:r>
        <w:rPr>
          <w:rStyle w:val="25"/>
        </w:rPr>
        <w:t xml:space="preserve">7.2 </w:t>
      </w:r>
      <w:r>
        <w:rPr>
          <w:rStyle w:val="25"/>
          <w:rFonts w:hint="eastAsia"/>
        </w:rPr>
        <w:t>废水标准</w:t>
      </w:r>
      <w:r>
        <w:tab/>
      </w:r>
      <w:r>
        <w:fldChar w:fldCharType="begin"/>
      </w:r>
      <w:r>
        <w:instrText xml:space="preserve"> PAGEREF _Toc505550599 \h </w:instrText>
      </w:r>
      <w:r>
        <w:fldChar w:fldCharType="separate"/>
      </w:r>
      <w:r>
        <w:t>12</w:t>
      </w:r>
      <w:r>
        <w:fldChar w:fldCharType="end"/>
      </w:r>
      <w:r>
        <w:fldChar w:fldCharType="end"/>
      </w:r>
    </w:p>
    <w:p>
      <w:pPr>
        <w:pStyle w:val="20"/>
        <w:tabs>
          <w:tab w:val="right" w:leader="dot" w:pos="8296"/>
        </w:tabs>
        <w:ind w:left="480"/>
        <w:rPr>
          <w:rFonts w:asciiTheme="minorHAnsi" w:hAnsiTheme="minorHAnsi" w:cstheme="minorBidi"/>
          <w:sz w:val="21"/>
          <w:szCs w:val="22"/>
        </w:rPr>
      </w:pPr>
      <w:r>
        <w:fldChar w:fldCharType="begin"/>
      </w:r>
      <w:r>
        <w:instrText xml:space="preserve"> HYPERLINK \l "_Toc505550600" </w:instrText>
      </w:r>
      <w:r>
        <w:fldChar w:fldCharType="separate"/>
      </w:r>
      <w:r>
        <w:rPr>
          <w:rStyle w:val="25"/>
        </w:rPr>
        <w:t xml:space="preserve">7.3 </w:t>
      </w:r>
      <w:r>
        <w:rPr>
          <w:rStyle w:val="25"/>
          <w:rFonts w:hint="eastAsia"/>
        </w:rPr>
        <w:t>噪声标准</w:t>
      </w:r>
      <w:r>
        <w:tab/>
      </w:r>
      <w:r>
        <w:fldChar w:fldCharType="begin"/>
      </w:r>
      <w:r>
        <w:instrText xml:space="preserve"> PAGEREF _Toc505550600 \h </w:instrText>
      </w:r>
      <w:r>
        <w:fldChar w:fldCharType="separate"/>
      </w:r>
      <w:r>
        <w:t>12</w:t>
      </w:r>
      <w:r>
        <w:fldChar w:fldCharType="end"/>
      </w:r>
      <w:r>
        <w:fldChar w:fldCharType="end"/>
      </w:r>
    </w:p>
    <w:p>
      <w:pPr>
        <w:pStyle w:val="20"/>
        <w:tabs>
          <w:tab w:val="right" w:leader="dot" w:pos="8296"/>
        </w:tabs>
        <w:ind w:left="480"/>
        <w:rPr>
          <w:rFonts w:asciiTheme="minorHAnsi" w:hAnsiTheme="minorHAnsi" w:cstheme="minorBidi"/>
          <w:sz w:val="21"/>
          <w:szCs w:val="22"/>
        </w:rPr>
      </w:pPr>
      <w:r>
        <w:fldChar w:fldCharType="begin"/>
      </w:r>
      <w:r>
        <w:instrText xml:space="preserve"> HYPERLINK \l "_Toc505550601" </w:instrText>
      </w:r>
      <w:r>
        <w:fldChar w:fldCharType="separate"/>
      </w:r>
      <w:r>
        <w:rPr>
          <w:rStyle w:val="25"/>
        </w:rPr>
        <w:t xml:space="preserve">7.4 </w:t>
      </w:r>
      <w:r>
        <w:rPr>
          <w:rStyle w:val="25"/>
          <w:rFonts w:hint="eastAsia"/>
        </w:rPr>
        <w:t>总量控制</w:t>
      </w:r>
      <w:r>
        <w:tab/>
      </w:r>
      <w:r>
        <w:fldChar w:fldCharType="begin"/>
      </w:r>
      <w:r>
        <w:instrText xml:space="preserve"> PAGEREF _Toc505550601 \h </w:instrText>
      </w:r>
      <w:r>
        <w:fldChar w:fldCharType="separate"/>
      </w:r>
      <w:r>
        <w:t>12</w:t>
      </w:r>
      <w:r>
        <w:fldChar w:fldCharType="end"/>
      </w:r>
      <w:r>
        <w:fldChar w:fldCharType="end"/>
      </w:r>
    </w:p>
    <w:p>
      <w:pPr>
        <w:pStyle w:val="18"/>
        <w:tabs>
          <w:tab w:val="right" w:leader="dot" w:pos="8296"/>
        </w:tabs>
        <w:rPr>
          <w:rFonts w:asciiTheme="minorHAnsi" w:hAnsiTheme="minorHAnsi" w:cstheme="minorBidi"/>
          <w:sz w:val="21"/>
          <w:szCs w:val="22"/>
        </w:rPr>
      </w:pPr>
      <w:r>
        <w:fldChar w:fldCharType="begin"/>
      </w:r>
      <w:r>
        <w:instrText xml:space="preserve"> HYPERLINK \l "_Toc505550602" </w:instrText>
      </w:r>
      <w:r>
        <w:fldChar w:fldCharType="separate"/>
      </w:r>
      <w:r>
        <w:rPr>
          <w:rStyle w:val="25"/>
          <w:rFonts w:hint="eastAsia"/>
        </w:rPr>
        <w:t>八、质量控制和质量保证</w:t>
      </w:r>
      <w:r>
        <w:tab/>
      </w:r>
      <w:r>
        <w:fldChar w:fldCharType="begin"/>
      </w:r>
      <w:r>
        <w:instrText xml:space="preserve"> PAGEREF _Toc505550602 \h </w:instrText>
      </w:r>
      <w:r>
        <w:fldChar w:fldCharType="separate"/>
      </w:r>
      <w:r>
        <w:t>12</w:t>
      </w:r>
      <w:r>
        <w:fldChar w:fldCharType="end"/>
      </w:r>
      <w:r>
        <w:fldChar w:fldCharType="end"/>
      </w:r>
    </w:p>
    <w:p>
      <w:pPr>
        <w:pStyle w:val="20"/>
        <w:tabs>
          <w:tab w:val="right" w:leader="dot" w:pos="8296"/>
        </w:tabs>
        <w:ind w:left="480"/>
        <w:rPr>
          <w:rFonts w:asciiTheme="minorHAnsi" w:hAnsiTheme="minorHAnsi" w:cstheme="minorBidi"/>
          <w:sz w:val="21"/>
          <w:szCs w:val="22"/>
        </w:rPr>
      </w:pPr>
      <w:r>
        <w:fldChar w:fldCharType="begin"/>
      </w:r>
      <w:r>
        <w:instrText xml:space="preserve"> HYPERLINK \l "_Toc505550603" </w:instrText>
      </w:r>
      <w:r>
        <w:fldChar w:fldCharType="separate"/>
      </w:r>
      <w:r>
        <w:rPr>
          <w:rStyle w:val="25"/>
        </w:rPr>
        <w:t xml:space="preserve">8.1 </w:t>
      </w:r>
      <w:r>
        <w:rPr>
          <w:rStyle w:val="25"/>
          <w:rFonts w:hint="eastAsia"/>
        </w:rPr>
        <w:t>检测分析方法及仪器</w:t>
      </w:r>
      <w:r>
        <w:tab/>
      </w:r>
      <w:r>
        <w:fldChar w:fldCharType="begin"/>
      </w:r>
      <w:r>
        <w:instrText xml:space="preserve"> PAGEREF _Toc505550603 \h </w:instrText>
      </w:r>
      <w:r>
        <w:fldChar w:fldCharType="separate"/>
      </w:r>
      <w:r>
        <w:t>12</w:t>
      </w:r>
      <w:r>
        <w:fldChar w:fldCharType="end"/>
      </w:r>
      <w:r>
        <w:fldChar w:fldCharType="end"/>
      </w:r>
    </w:p>
    <w:p>
      <w:pPr>
        <w:pStyle w:val="20"/>
        <w:tabs>
          <w:tab w:val="right" w:leader="dot" w:pos="8296"/>
        </w:tabs>
        <w:ind w:left="480"/>
        <w:rPr>
          <w:rFonts w:asciiTheme="minorHAnsi" w:hAnsiTheme="minorHAnsi" w:cstheme="minorBidi"/>
          <w:sz w:val="21"/>
          <w:szCs w:val="22"/>
        </w:rPr>
      </w:pPr>
      <w:r>
        <w:fldChar w:fldCharType="begin"/>
      </w:r>
      <w:r>
        <w:instrText xml:space="preserve"> HYPERLINK \l "_Toc505550604" </w:instrText>
      </w:r>
      <w:r>
        <w:fldChar w:fldCharType="separate"/>
      </w:r>
      <w:r>
        <w:rPr>
          <w:rStyle w:val="25"/>
        </w:rPr>
        <w:t xml:space="preserve">8.2 </w:t>
      </w:r>
      <w:r>
        <w:rPr>
          <w:rStyle w:val="25"/>
          <w:rFonts w:hint="eastAsia"/>
        </w:rPr>
        <w:t>质量保证与质量控制</w:t>
      </w:r>
      <w:r>
        <w:tab/>
      </w:r>
      <w:r>
        <w:fldChar w:fldCharType="begin"/>
      </w:r>
      <w:r>
        <w:instrText xml:space="preserve"> PAGEREF _Toc505550604 \h </w:instrText>
      </w:r>
      <w:r>
        <w:fldChar w:fldCharType="separate"/>
      </w:r>
      <w:r>
        <w:t>13</w:t>
      </w:r>
      <w:r>
        <w:fldChar w:fldCharType="end"/>
      </w:r>
      <w:r>
        <w:fldChar w:fldCharType="end"/>
      </w:r>
    </w:p>
    <w:p>
      <w:pPr>
        <w:pStyle w:val="18"/>
        <w:tabs>
          <w:tab w:val="right" w:leader="dot" w:pos="8296"/>
        </w:tabs>
        <w:rPr>
          <w:rFonts w:asciiTheme="minorHAnsi" w:hAnsiTheme="minorHAnsi" w:cstheme="minorBidi"/>
          <w:sz w:val="21"/>
          <w:szCs w:val="22"/>
        </w:rPr>
      </w:pPr>
      <w:r>
        <w:fldChar w:fldCharType="begin"/>
      </w:r>
      <w:r>
        <w:instrText xml:space="preserve"> HYPERLINK \l "_Toc505550605" </w:instrText>
      </w:r>
      <w:r>
        <w:fldChar w:fldCharType="separate"/>
      </w:r>
      <w:r>
        <w:rPr>
          <w:rStyle w:val="25"/>
          <w:rFonts w:hint="eastAsia"/>
        </w:rPr>
        <w:t>九、验收监测结果及评价</w:t>
      </w:r>
      <w:r>
        <w:tab/>
      </w:r>
      <w:r>
        <w:fldChar w:fldCharType="begin"/>
      </w:r>
      <w:r>
        <w:instrText xml:space="preserve"> PAGEREF _Toc505550605 \h </w:instrText>
      </w:r>
      <w:r>
        <w:fldChar w:fldCharType="separate"/>
      </w:r>
      <w:r>
        <w:t>13</w:t>
      </w:r>
      <w:r>
        <w:fldChar w:fldCharType="end"/>
      </w:r>
      <w:r>
        <w:fldChar w:fldCharType="end"/>
      </w:r>
    </w:p>
    <w:p>
      <w:pPr>
        <w:pStyle w:val="20"/>
        <w:tabs>
          <w:tab w:val="right" w:leader="dot" w:pos="8296"/>
        </w:tabs>
        <w:ind w:left="480"/>
        <w:rPr>
          <w:rFonts w:asciiTheme="minorHAnsi" w:hAnsiTheme="minorHAnsi" w:cstheme="minorBidi"/>
          <w:sz w:val="21"/>
          <w:szCs w:val="22"/>
        </w:rPr>
      </w:pPr>
      <w:r>
        <w:fldChar w:fldCharType="begin"/>
      </w:r>
      <w:r>
        <w:instrText xml:space="preserve"> HYPERLINK \l "_Toc505550606" </w:instrText>
      </w:r>
      <w:r>
        <w:fldChar w:fldCharType="separate"/>
      </w:r>
      <w:r>
        <w:rPr>
          <w:rStyle w:val="25"/>
        </w:rPr>
        <w:t>9.1</w:t>
      </w:r>
      <w:r>
        <w:rPr>
          <w:rStyle w:val="25"/>
          <w:rFonts w:hint="eastAsia"/>
        </w:rPr>
        <w:t>验收监测期间生产工况</w:t>
      </w:r>
      <w:r>
        <w:tab/>
      </w:r>
      <w:r>
        <w:fldChar w:fldCharType="begin"/>
      </w:r>
      <w:r>
        <w:instrText xml:space="preserve"> PAGEREF _Toc505550606 \h </w:instrText>
      </w:r>
      <w:r>
        <w:fldChar w:fldCharType="separate"/>
      </w:r>
      <w:r>
        <w:t>13</w:t>
      </w:r>
      <w:r>
        <w:fldChar w:fldCharType="end"/>
      </w:r>
      <w:r>
        <w:fldChar w:fldCharType="end"/>
      </w:r>
    </w:p>
    <w:p>
      <w:pPr>
        <w:pStyle w:val="20"/>
        <w:tabs>
          <w:tab w:val="right" w:leader="dot" w:pos="8296"/>
        </w:tabs>
        <w:ind w:left="480"/>
        <w:rPr>
          <w:rFonts w:asciiTheme="minorHAnsi" w:hAnsiTheme="minorHAnsi" w:cstheme="minorBidi"/>
          <w:sz w:val="21"/>
          <w:szCs w:val="22"/>
        </w:rPr>
      </w:pPr>
      <w:r>
        <w:fldChar w:fldCharType="begin"/>
      </w:r>
      <w:r>
        <w:instrText xml:space="preserve"> HYPERLINK \l "_Toc505550607" </w:instrText>
      </w:r>
      <w:r>
        <w:fldChar w:fldCharType="separate"/>
      </w:r>
      <w:r>
        <w:rPr>
          <w:rStyle w:val="25"/>
        </w:rPr>
        <w:t xml:space="preserve">9.2 </w:t>
      </w:r>
      <w:r>
        <w:rPr>
          <w:rStyle w:val="25"/>
          <w:rFonts w:hint="eastAsia"/>
        </w:rPr>
        <w:t>废气监测结果</w:t>
      </w:r>
      <w:r>
        <w:tab/>
      </w:r>
      <w:r>
        <w:fldChar w:fldCharType="begin"/>
      </w:r>
      <w:r>
        <w:instrText xml:space="preserve"> PAGEREF _Toc505550607 \h </w:instrText>
      </w:r>
      <w:r>
        <w:fldChar w:fldCharType="separate"/>
      </w:r>
      <w:r>
        <w:t>14</w:t>
      </w:r>
      <w:r>
        <w:fldChar w:fldCharType="end"/>
      </w:r>
      <w:r>
        <w:fldChar w:fldCharType="end"/>
      </w:r>
    </w:p>
    <w:p>
      <w:pPr>
        <w:pStyle w:val="20"/>
        <w:tabs>
          <w:tab w:val="right" w:leader="dot" w:pos="8296"/>
        </w:tabs>
        <w:ind w:left="480"/>
        <w:rPr>
          <w:rFonts w:asciiTheme="minorHAnsi" w:hAnsiTheme="minorHAnsi" w:cstheme="minorBidi"/>
          <w:sz w:val="21"/>
          <w:szCs w:val="22"/>
        </w:rPr>
      </w:pPr>
      <w:r>
        <w:fldChar w:fldCharType="begin"/>
      </w:r>
      <w:r>
        <w:instrText xml:space="preserve"> HYPERLINK \l "_Toc505550608" </w:instrText>
      </w:r>
      <w:r>
        <w:fldChar w:fldCharType="separate"/>
      </w:r>
      <w:r>
        <w:rPr>
          <w:rStyle w:val="25"/>
        </w:rPr>
        <w:t xml:space="preserve">9.3 </w:t>
      </w:r>
      <w:r>
        <w:rPr>
          <w:rStyle w:val="25"/>
          <w:rFonts w:hint="eastAsia"/>
        </w:rPr>
        <w:t>噪声检测结果</w:t>
      </w:r>
      <w:r>
        <w:tab/>
      </w:r>
      <w:r>
        <w:fldChar w:fldCharType="begin"/>
      </w:r>
      <w:r>
        <w:instrText xml:space="preserve"> PAGEREF _Toc505550608 \h </w:instrText>
      </w:r>
      <w:r>
        <w:fldChar w:fldCharType="separate"/>
      </w:r>
      <w:r>
        <w:t>15</w:t>
      </w:r>
      <w:r>
        <w:fldChar w:fldCharType="end"/>
      </w:r>
      <w:r>
        <w:fldChar w:fldCharType="end"/>
      </w:r>
    </w:p>
    <w:p>
      <w:pPr>
        <w:pStyle w:val="18"/>
        <w:tabs>
          <w:tab w:val="right" w:leader="dot" w:pos="8296"/>
        </w:tabs>
        <w:rPr>
          <w:rFonts w:asciiTheme="minorHAnsi" w:hAnsiTheme="minorHAnsi" w:cstheme="minorBidi"/>
          <w:sz w:val="21"/>
          <w:szCs w:val="22"/>
        </w:rPr>
      </w:pPr>
      <w:r>
        <w:fldChar w:fldCharType="begin"/>
      </w:r>
      <w:r>
        <w:instrText xml:space="preserve"> HYPERLINK \l "_Toc505550609" </w:instrText>
      </w:r>
      <w:r>
        <w:fldChar w:fldCharType="separate"/>
      </w:r>
      <w:r>
        <w:rPr>
          <w:rStyle w:val="25"/>
          <w:rFonts w:hint="eastAsia"/>
        </w:rPr>
        <w:t>十、环境管理状况及监测计划</w:t>
      </w:r>
      <w:r>
        <w:tab/>
      </w:r>
      <w:r>
        <w:fldChar w:fldCharType="begin"/>
      </w:r>
      <w:r>
        <w:instrText xml:space="preserve"> PAGEREF _Toc505550609 \h </w:instrText>
      </w:r>
      <w:r>
        <w:fldChar w:fldCharType="separate"/>
      </w:r>
      <w:r>
        <w:t>15</w:t>
      </w:r>
      <w:r>
        <w:fldChar w:fldCharType="end"/>
      </w:r>
      <w:r>
        <w:fldChar w:fldCharType="end"/>
      </w:r>
    </w:p>
    <w:p>
      <w:pPr>
        <w:pStyle w:val="20"/>
        <w:tabs>
          <w:tab w:val="right" w:leader="dot" w:pos="8296"/>
        </w:tabs>
        <w:ind w:left="480"/>
        <w:rPr>
          <w:rFonts w:asciiTheme="minorHAnsi" w:hAnsiTheme="minorHAnsi" w:cstheme="minorBidi"/>
          <w:sz w:val="21"/>
          <w:szCs w:val="22"/>
        </w:rPr>
      </w:pPr>
      <w:r>
        <w:fldChar w:fldCharType="begin"/>
      </w:r>
      <w:r>
        <w:instrText xml:space="preserve"> HYPERLINK \l "_Toc505550610" </w:instrText>
      </w:r>
      <w:r>
        <w:fldChar w:fldCharType="separate"/>
      </w:r>
      <w:r>
        <w:rPr>
          <w:rStyle w:val="25"/>
        </w:rPr>
        <w:t xml:space="preserve">10.1 </w:t>
      </w:r>
      <w:r>
        <w:rPr>
          <w:rStyle w:val="25"/>
          <w:rFonts w:hint="eastAsia"/>
        </w:rPr>
        <w:t>环保机构及制度建设</w:t>
      </w:r>
      <w:r>
        <w:tab/>
      </w:r>
      <w:r>
        <w:fldChar w:fldCharType="begin"/>
      </w:r>
      <w:r>
        <w:instrText xml:space="preserve"> PAGEREF _Toc505550610 \h </w:instrText>
      </w:r>
      <w:r>
        <w:fldChar w:fldCharType="separate"/>
      </w:r>
      <w:r>
        <w:t>15</w:t>
      </w:r>
      <w:r>
        <w:fldChar w:fldCharType="end"/>
      </w:r>
      <w:r>
        <w:fldChar w:fldCharType="end"/>
      </w:r>
    </w:p>
    <w:p>
      <w:pPr>
        <w:pStyle w:val="20"/>
        <w:tabs>
          <w:tab w:val="right" w:leader="dot" w:pos="8296"/>
        </w:tabs>
        <w:ind w:left="480"/>
        <w:rPr>
          <w:rFonts w:asciiTheme="minorHAnsi" w:hAnsiTheme="minorHAnsi" w:cstheme="minorBidi"/>
          <w:sz w:val="21"/>
          <w:szCs w:val="22"/>
        </w:rPr>
      </w:pPr>
      <w:r>
        <w:fldChar w:fldCharType="begin"/>
      </w:r>
      <w:r>
        <w:instrText xml:space="preserve"> HYPERLINK \l "_Toc505550611" </w:instrText>
      </w:r>
      <w:r>
        <w:fldChar w:fldCharType="separate"/>
      </w:r>
      <w:r>
        <w:rPr>
          <w:rStyle w:val="25"/>
        </w:rPr>
        <w:t xml:space="preserve">10.2 </w:t>
      </w:r>
      <w:r>
        <w:rPr>
          <w:rStyle w:val="25"/>
          <w:rFonts w:hint="eastAsia"/>
        </w:rPr>
        <w:t>环境检测能力</w:t>
      </w:r>
      <w:r>
        <w:tab/>
      </w:r>
      <w:r>
        <w:fldChar w:fldCharType="begin"/>
      </w:r>
      <w:r>
        <w:instrText xml:space="preserve"> PAGEREF _Toc505550611 \h </w:instrText>
      </w:r>
      <w:r>
        <w:fldChar w:fldCharType="separate"/>
      </w:r>
      <w:r>
        <w:t>15</w:t>
      </w:r>
      <w:r>
        <w:fldChar w:fldCharType="end"/>
      </w:r>
      <w:r>
        <w:fldChar w:fldCharType="end"/>
      </w:r>
    </w:p>
    <w:p>
      <w:pPr>
        <w:pStyle w:val="18"/>
        <w:tabs>
          <w:tab w:val="right" w:leader="dot" w:pos="8296"/>
        </w:tabs>
        <w:rPr>
          <w:rFonts w:asciiTheme="minorHAnsi" w:hAnsiTheme="minorHAnsi" w:cstheme="minorBidi"/>
          <w:sz w:val="21"/>
          <w:szCs w:val="22"/>
        </w:rPr>
      </w:pPr>
      <w:r>
        <w:fldChar w:fldCharType="begin"/>
      </w:r>
      <w:r>
        <w:instrText xml:space="preserve"> HYPERLINK \l "_Toc505550612" </w:instrText>
      </w:r>
      <w:r>
        <w:fldChar w:fldCharType="separate"/>
      </w:r>
      <w:r>
        <w:rPr>
          <w:rStyle w:val="25"/>
          <w:rFonts w:hint="eastAsia"/>
        </w:rPr>
        <w:t>十一、结论</w:t>
      </w:r>
      <w:r>
        <w:tab/>
      </w:r>
      <w:r>
        <w:fldChar w:fldCharType="begin"/>
      </w:r>
      <w:r>
        <w:instrText xml:space="preserve"> PAGEREF _Toc505550612 \h </w:instrText>
      </w:r>
      <w:r>
        <w:fldChar w:fldCharType="separate"/>
      </w:r>
      <w:r>
        <w:t>16</w:t>
      </w:r>
      <w:r>
        <w:fldChar w:fldCharType="end"/>
      </w:r>
      <w:r>
        <w:fldChar w:fldCharType="end"/>
      </w:r>
    </w:p>
    <w:p>
      <w:r>
        <w:fldChar w:fldCharType="end"/>
      </w:r>
    </w:p>
    <w:p/>
    <w:p/>
    <w:p/>
    <w:p/>
    <w:p/>
    <w:p/>
    <w:p/>
    <w:p/>
    <w:p/>
    <w:p/>
    <w:p/>
    <w:p/>
    <w:p/>
    <w:p/>
    <w:p/>
    <w:p/>
    <w:p>
      <w:pPr>
        <w:pStyle w:val="2"/>
      </w:pPr>
      <w:bookmarkStart w:id="0" w:name="_Toc23891"/>
      <w:bookmarkStart w:id="1" w:name="_Toc505550581"/>
      <w:r>
        <w:t>一、</w:t>
      </w:r>
      <w:bookmarkEnd w:id="0"/>
      <w:r>
        <w:rPr>
          <w:rFonts w:hint="eastAsia"/>
        </w:rPr>
        <w:t>项目</w:t>
      </w:r>
      <w:r>
        <w:t>概况</w:t>
      </w:r>
      <w:bookmarkEnd w:id="1"/>
    </w:p>
    <w:p>
      <w:pPr>
        <w:rPr>
          <w:color w:val="000000"/>
        </w:rPr>
      </w:pPr>
      <w:r>
        <w:rPr>
          <w:rFonts w:hAnsi="宋体"/>
          <w:color w:val="000000"/>
        </w:rPr>
        <w:t>项目位于</w:t>
      </w:r>
      <w:r>
        <w:rPr>
          <w:rFonts w:hint="eastAsia" w:hAnsi="宋体"/>
        </w:rPr>
        <w:t>东光县连镇镇前一街</w:t>
      </w:r>
      <w:r>
        <w:rPr>
          <w:rFonts w:hint="eastAsia"/>
          <w:color w:val="000000"/>
        </w:rPr>
        <w:t>。项目东侧为</w:t>
      </w:r>
      <w:r>
        <w:rPr>
          <w:rFonts w:hint="eastAsia"/>
        </w:rPr>
        <w:t>农田，西侧、北侧连镇，南侧为驾校。项目厂址距离最近的敏感点为连镇100米。项目</w:t>
      </w:r>
      <w:r>
        <w:t>中心</w:t>
      </w:r>
      <w:r>
        <w:rPr>
          <w:rFonts w:hint="eastAsia"/>
        </w:rPr>
        <w:t>地理</w:t>
      </w:r>
      <w:r>
        <w:t>坐标为</w:t>
      </w:r>
      <w:r>
        <w:rPr>
          <w:rFonts w:hint="eastAsia"/>
        </w:rPr>
        <w:t>东经116°28'49.74"，北纬37°47'26.86"</w:t>
      </w:r>
      <w:r>
        <w:t>。</w:t>
      </w:r>
    </w:p>
    <w:p>
      <w:r>
        <w:rPr>
          <w:rFonts w:hint="eastAsia"/>
        </w:rPr>
        <w:t>项目</w:t>
      </w:r>
      <w:r>
        <w:t>总投资</w:t>
      </w:r>
      <w:r>
        <w:rPr>
          <w:rFonts w:hint="eastAsia"/>
        </w:rPr>
        <w:t>2000万元</w:t>
      </w:r>
      <w:r>
        <w:t>，其中环保投资</w:t>
      </w:r>
      <w:r>
        <w:rPr>
          <w:rFonts w:hint="eastAsia"/>
        </w:rPr>
        <w:t>20万元</w:t>
      </w:r>
      <w:r>
        <w:t>，占总投资的</w:t>
      </w:r>
      <w:r>
        <w:rPr>
          <w:rFonts w:hint="eastAsia"/>
        </w:rPr>
        <w:t>1%。项目</w:t>
      </w:r>
      <w:r>
        <w:t>总占地面积</w:t>
      </w:r>
      <w:r>
        <w:rPr>
          <w:rFonts w:hint="eastAsia"/>
        </w:rPr>
        <w:t>83937m</w:t>
      </w:r>
      <w:r>
        <w:rPr>
          <w:vertAlign w:val="superscript"/>
        </w:rPr>
        <w:t>2</w:t>
      </w:r>
      <w:r>
        <w:t>，总建筑面积</w:t>
      </w:r>
      <w:r>
        <w:rPr>
          <w:rFonts w:hint="eastAsia"/>
        </w:rPr>
        <w:t>8000</w:t>
      </w:r>
      <w:r>
        <w:t>m</w:t>
      </w:r>
      <w:r>
        <w:rPr>
          <w:vertAlign w:val="superscript"/>
        </w:rPr>
        <w:t>2</w:t>
      </w:r>
      <w:r>
        <w:rPr>
          <w:rFonts w:hint="eastAsia"/>
        </w:rPr>
        <w:t>。</w:t>
      </w:r>
      <w:r>
        <w:t>项目劳动定员</w:t>
      </w:r>
      <w:r>
        <w:rPr>
          <w:rFonts w:hint="eastAsia"/>
        </w:rPr>
        <w:t>55人</w:t>
      </w:r>
      <w:r>
        <w:t>，</w:t>
      </w:r>
      <w:r>
        <w:rPr>
          <w:rFonts w:hint="eastAsia"/>
        </w:rPr>
        <w:t>8小时工作制</w:t>
      </w:r>
      <w:r>
        <w:t>，年工作日</w:t>
      </w:r>
      <w:r>
        <w:rPr>
          <w:rFonts w:hint="eastAsia"/>
        </w:rPr>
        <w:t>330</w:t>
      </w:r>
      <w:r>
        <w:t>天。</w:t>
      </w:r>
      <w:r>
        <w:rPr>
          <w:rFonts w:hint="eastAsia"/>
        </w:rPr>
        <w:t>本项目年产</w:t>
      </w:r>
      <w:r>
        <w:rPr>
          <w:rFonts w:hint="eastAsia" w:hAnsi="宋体"/>
        </w:rPr>
        <w:t>4000吨煤矿机械结构件</w:t>
      </w:r>
      <w:r>
        <w:rPr>
          <w:rFonts w:hint="eastAsia"/>
        </w:rPr>
        <w:t>。</w:t>
      </w:r>
    </w:p>
    <w:p>
      <w:pPr>
        <w:rPr>
          <w:rFonts w:cstheme="minorBidi"/>
        </w:rPr>
      </w:pPr>
      <w:r>
        <w:t>公司于20</w:t>
      </w:r>
      <w:r>
        <w:rPr>
          <w:rFonts w:hint="eastAsia"/>
        </w:rPr>
        <w:t>10</w:t>
      </w:r>
      <w:r>
        <w:t>年</w:t>
      </w:r>
      <w:r>
        <w:rPr>
          <w:rFonts w:hint="eastAsia"/>
        </w:rPr>
        <w:t>7</w:t>
      </w:r>
      <w:r>
        <w:t>月委托</w:t>
      </w:r>
      <w:r>
        <w:rPr>
          <w:rFonts w:hint="eastAsia"/>
          <w:bCs/>
        </w:rPr>
        <w:t>北京嘉和绿洲环保技术投资有限公司</w:t>
      </w:r>
      <w:r>
        <w:t>编制</w:t>
      </w:r>
      <w:r>
        <w:rPr>
          <w:rFonts w:hint="eastAsia"/>
        </w:rPr>
        <w:t>《</w:t>
      </w:r>
      <w:r>
        <w:rPr>
          <w:rFonts w:hint="eastAsia" w:hAnsi="宋体"/>
        </w:rPr>
        <w:t>沧州鑫拓煤矿机械有限公司煤矿用刮板输送机及煤矿机械零部件项目</w:t>
      </w:r>
      <w:r>
        <w:rPr>
          <w:rFonts w:hint="eastAsia"/>
        </w:rPr>
        <w:t>环境影响报告表》</w:t>
      </w:r>
      <w:r>
        <w:t>，</w:t>
      </w:r>
      <w:r>
        <w:rPr>
          <w:rFonts w:hint="eastAsia"/>
        </w:rPr>
        <w:t>于2010年8月5日取得东光县环保局审批（批复意见附件）。企业未及时履行环保设施竣工验收手续，主体工程配套的环保设施未经环保专项验收并投入生产沧州市环境保护局东光县分局于2017年9月25日向企业下达了行政处罚书。在建设过程中，项目部分建设内容发生了变化，企业委托编写了环境影响补充报告</w:t>
      </w:r>
      <w:r>
        <w:rPr>
          <w:rFonts w:cstheme="minorBidi"/>
        </w:rPr>
        <w:t>并</w:t>
      </w:r>
      <w:r>
        <w:rPr>
          <w:rFonts w:hint="eastAsia" w:cstheme="minorBidi"/>
        </w:rPr>
        <w:t>于2017年12月15日</w:t>
      </w:r>
      <w:r>
        <w:rPr>
          <w:rFonts w:cstheme="minorBidi"/>
        </w:rPr>
        <w:t>通过了</w:t>
      </w:r>
      <w:r>
        <w:rPr>
          <w:rFonts w:hint="eastAsia" w:cstheme="minorBidi"/>
        </w:rPr>
        <w:t>沧州市</w:t>
      </w:r>
      <w:r>
        <w:rPr>
          <w:rFonts w:cstheme="minorBidi"/>
        </w:rPr>
        <w:t>环保局</w:t>
      </w:r>
      <w:r>
        <w:rPr>
          <w:rFonts w:hint="eastAsia" w:cstheme="minorBidi"/>
        </w:rPr>
        <w:t>东光县分局</w:t>
      </w:r>
      <w:r>
        <w:rPr>
          <w:rFonts w:cstheme="minorBidi"/>
        </w:rPr>
        <w:t>对该项目环境影响</w:t>
      </w:r>
      <w:r>
        <w:rPr>
          <w:rFonts w:hint="eastAsia" w:cstheme="minorBidi"/>
        </w:rPr>
        <w:t>补充</w:t>
      </w:r>
      <w:r>
        <w:rPr>
          <w:rFonts w:cstheme="minorBidi"/>
        </w:rPr>
        <w:t>报告的审批（文号：</w:t>
      </w:r>
      <w:r>
        <w:rPr>
          <w:rFonts w:hint="eastAsia" w:cstheme="minorBidi"/>
        </w:rPr>
        <w:t>东环字</w:t>
      </w:r>
      <w:r>
        <w:rPr>
          <w:rFonts w:cstheme="minorBidi"/>
        </w:rPr>
        <w:t>[201</w:t>
      </w:r>
      <w:r>
        <w:rPr>
          <w:rFonts w:hint="eastAsia" w:cstheme="minorBidi"/>
        </w:rPr>
        <w:t>7</w:t>
      </w:r>
      <w:r>
        <w:rPr>
          <w:rFonts w:cstheme="minorBidi"/>
        </w:rPr>
        <w:t>]</w:t>
      </w:r>
      <w:r>
        <w:rPr>
          <w:rFonts w:hint="eastAsia" w:cstheme="minorBidi"/>
        </w:rPr>
        <w:t>107</w:t>
      </w:r>
      <w:r>
        <w:rPr>
          <w:rFonts w:cstheme="minorBidi"/>
        </w:rPr>
        <w:t>号）。</w:t>
      </w:r>
    </w:p>
    <w:p>
      <w:r>
        <w:t>根据《中华人民共和国环境保护法》、《建设项目环境保护管理条例》、《建设项目竣工环保验收管理办法》（国家环保总局13号令）等相关规定，按照环境保护设施与主体工程同时设计、同时施工、同时投入使用的“三同时”制度的要求，</w:t>
      </w:r>
      <w:r>
        <w:rPr>
          <w:rFonts w:hint="eastAsia"/>
        </w:rPr>
        <w:t>沧州鑫拓煤矿机械有限公司</w:t>
      </w:r>
      <w:r>
        <w:t>于201</w:t>
      </w:r>
      <w:r>
        <w:rPr>
          <w:rFonts w:hint="eastAsia"/>
        </w:rPr>
        <w:t>8</w:t>
      </w:r>
      <w:r>
        <w:t>年</w:t>
      </w:r>
      <w:r>
        <w:rPr>
          <w:rFonts w:hint="eastAsia"/>
        </w:rPr>
        <w:t>2</w:t>
      </w:r>
      <w:r>
        <w:t>月开展建设项目竣工环境保护验收工作。</w:t>
      </w:r>
    </w:p>
    <w:p>
      <w:r>
        <w:t>根据公司的环评资料、建设项目工程竣工环境保护“三同时”验收登记表</w:t>
      </w:r>
      <w:r>
        <w:rPr>
          <w:rFonts w:hint="eastAsia"/>
        </w:rPr>
        <w:t>等</w:t>
      </w:r>
      <w:r>
        <w:t>资料进行实地勘察、核实，同时本着客观、公正、全面、规范的原则，编制了《</w:t>
      </w:r>
      <w:r>
        <w:rPr>
          <w:rFonts w:hint="eastAsia" w:hAnsi="宋体"/>
        </w:rPr>
        <w:t>沧州鑫拓煤矿机械有限公司年产4000吨煤矿机械结构件项目</w:t>
      </w:r>
      <w:r>
        <w:t>竣工环境保护设施验收报告》。</w:t>
      </w:r>
    </w:p>
    <w:p>
      <w:pPr>
        <w:pStyle w:val="2"/>
      </w:pPr>
      <w:bookmarkStart w:id="2" w:name="_Toc505550582"/>
      <w:bookmarkStart w:id="3" w:name="_Toc28795"/>
      <w:r>
        <w:t>二、建设项目验收依据</w:t>
      </w:r>
      <w:bookmarkEnd w:id="2"/>
      <w:bookmarkEnd w:id="3"/>
    </w:p>
    <w:p>
      <w:r>
        <w:t>1、关于印发《“十三五”环境影响评价改革实施方案》的通知（环环评</w:t>
      </w:r>
      <w:r>
        <w:rPr>
          <w:rFonts w:hint="eastAsia"/>
        </w:rPr>
        <w:t>[</w:t>
      </w:r>
      <w:r>
        <w:t>2016</w:t>
      </w:r>
      <w:r>
        <w:rPr>
          <w:rFonts w:hint="eastAsia"/>
        </w:rPr>
        <w:t>]</w:t>
      </w:r>
      <w:r>
        <w:t>95号）；</w:t>
      </w:r>
    </w:p>
    <w:p>
      <w:r>
        <w:t>2、</w:t>
      </w:r>
      <w:r>
        <w:rPr>
          <w:rFonts w:hint="eastAsia" w:eastAsia="宋体"/>
        </w:rPr>
        <w:t>国家环境保护总局</w:t>
      </w:r>
      <w:r>
        <w:t>第13号令《建设项目竣工环境保护设施验收管理办法》；</w:t>
      </w:r>
    </w:p>
    <w:p>
      <w:r>
        <w:t>3、中华人民共和国国务院第</w:t>
      </w:r>
      <w:r>
        <w:rPr>
          <w:rFonts w:hint="eastAsia"/>
        </w:rPr>
        <w:t>682</w:t>
      </w:r>
      <w:r>
        <w:t>号令《建设项目环境保护管理条例》</w:t>
      </w:r>
      <w:r>
        <w:rPr>
          <w:rFonts w:hint="eastAsia"/>
        </w:rPr>
        <w:t>（1998年11月29日中华人民共和国国务院令第253号发布根据2017年7月16日《国务院关于修改〈建设项目环境保护管理条例〉的决定》修订）</w:t>
      </w:r>
      <w:r>
        <w:t>；</w:t>
      </w:r>
    </w:p>
    <w:p>
      <w:r>
        <w:rPr>
          <w:rFonts w:hint="eastAsia"/>
        </w:rPr>
        <w:t>4、环境保护部办公厅环办环评函[2017]1529号关于公开征求《建设项目竣工环境保护验收技术指南 污染影响类 （征求意见稿）》意见的通知，2017年9月29日</w:t>
      </w:r>
    </w:p>
    <w:p>
      <w:r>
        <w:rPr>
          <w:rFonts w:hint="eastAsia"/>
        </w:rPr>
        <w:t>5</w:t>
      </w:r>
      <w:r>
        <w:t>、《</w:t>
      </w:r>
      <w:r>
        <w:rPr>
          <w:rFonts w:hint="eastAsia"/>
        </w:rPr>
        <w:t>沧州鑫拓煤矿机械有限公司年产4000吨煤矿机械结构件项目</w:t>
      </w:r>
      <w:r>
        <w:t>环境</w:t>
      </w:r>
      <w:r>
        <w:rPr>
          <w:rFonts w:hint="eastAsia"/>
        </w:rPr>
        <w:t>影响</w:t>
      </w:r>
      <w:r>
        <w:t>报告</w:t>
      </w:r>
      <w:r>
        <w:rPr>
          <w:rFonts w:hint="eastAsia"/>
        </w:rPr>
        <w:t>表</w:t>
      </w:r>
      <w:r>
        <w:t>》。</w:t>
      </w:r>
      <w:r>
        <w:rPr>
          <w:rFonts w:hint="eastAsia"/>
        </w:rPr>
        <w:t>和</w:t>
      </w:r>
      <w:r>
        <w:t>《</w:t>
      </w:r>
      <w:r>
        <w:rPr>
          <w:rFonts w:hint="eastAsia"/>
        </w:rPr>
        <w:t>沧州鑫拓煤矿机械有限公司年产4000吨煤矿机械结构件项目</w:t>
      </w:r>
      <w:r>
        <w:t>环境</w:t>
      </w:r>
      <w:r>
        <w:rPr>
          <w:rFonts w:hint="eastAsia"/>
        </w:rPr>
        <w:t>影响补充</w:t>
      </w:r>
      <w:r>
        <w:t>报告》。</w:t>
      </w:r>
    </w:p>
    <w:p>
      <w:r>
        <w:rPr>
          <w:rFonts w:hint="eastAsia"/>
        </w:rPr>
        <w:t>6</w:t>
      </w:r>
      <w:r>
        <w:t>、</w:t>
      </w:r>
      <w:r>
        <w:rPr>
          <w:rFonts w:hint="eastAsia"/>
        </w:rPr>
        <w:t>沧州市东光县环保局</w:t>
      </w:r>
      <w:r>
        <w:t>《</w:t>
      </w:r>
      <w:r>
        <w:rPr>
          <w:rFonts w:hint="eastAsia" w:hAnsi="宋体"/>
          <w:color w:val="000000"/>
        </w:rPr>
        <w:t>沧州鑫拓煤矿机械有限公司年产4000吨煤矿机械结构件项目</w:t>
      </w:r>
      <w:r>
        <w:t>环境</w:t>
      </w:r>
      <w:r>
        <w:rPr>
          <w:rFonts w:hint="eastAsia"/>
        </w:rPr>
        <w:t>影响补充</w:t>
      </w:r>
      <w:r>
        <w:t>报告》的审批意见（</w:t>
      </w:r>
      <w:r>
        <w:rPr>
          <w:rFonts w:hint="eastAsia"/>
        </w:rPr>
        <w:t>东环表[2017] 107号</w:t>
      </w:r>
      <w:r>
        <w:t>）；</w:t>
      </w:r>
    </w:p>
    <w:p>
      <w:r>
        <w:rPr>
          <w:rFonts w:hint="eastAsia"/>
        </w:rPr>
        <w:t>7</w:t>
      </w:r>
      <w:r>
        <w:t>、《</w:t>
      </w:r>
      <w:r>
        <w:rPr>
          <w:rFonts w:hint="eastAsia"/>
        </w:rPr>
        <w:t>沧州鑫拓煤矿机械有限公司年产4000吨煤矿机械结构件项目</w:t>
      </w:r>
      <w:r>
        <w:t>竣工环境保护验收监测</w:t>
      </w:r>
      <w:r>
        <w:rPr>
          <w:rFonts w:hint="eastAsia"/>
        </w:rPr>
        <w:t>报告</w:t>
      </w:r>
      <w:r>
        <w:t>》（</w:t>
      </w:r>
      <w:r>
        <w:rPr>
          <w:rFonts w:hint="eastAsia"/>
        </w:rPr>
        <w:t>海蓝（检）字</w:t>
      </w:r>
      <w:r>
        <w:rPr>
          <w:rFonts w:ascii="宋体" w:cs="宋体"/>
        </w:rPr>
        <w:t>YS2017</w:t>
      </w:r>
      <w:r>
        <w:rPr>
          <w:rFonts w:hint="eastAsia" w:ascii="宋体" w:cs="宋体"/>
        </w:rPr>
        <w:t>11</w:t>
      </w:r>
      <w:r>
        <w:rPr>
          <w:rFonts w:ascii="宋体" w:cs="宋体"/>
        </w:rPr>
        <w:t>-</w:t>
      </w:r>
      <w:r>
        <w:rPr>
          <w:rFonts w:hint="eastAsia" w:ascii="宋体" w:cs="宋体"/>
        </w:rPr>
        <w:t>0450号）</w:t>
      </w:r>
    </w:p>
    <w:p>
      <w:pPr>
        <w:pStyle w:val="2"/>
      </w:pPr>
      <w:bookmarkStart w:id="4" w:name="_Toc9689"/>
      <w:bookmarkStart w:id="5" w:name="_Toc505550583"/>
      <w:r>
        <w:t>三、环评主要内容</w:t>
      </w:r>
      <w:bookmarkEnd w:id="4"/>
      <w:r>
        <w:rPr>
          <w:rFonts w:hint="eastAsia"/>
        </w:rPr>
        <w:t>与实际建设情况</w:t>
      </w:r>
      <w:bookmarkEnd w:id="5"/>
    </w:p>
    <w:p>
      <w:pPr>
        <w:pStyle w:val="3"/>
      </w:pPr>
      <w:bookmarkStart w:id="6" w:name="_Toc505550584"/>
      <w:bookmarkStart w:id="7" w:name="_Toc23790"/>
      <w:r>
        <w:t>3.1 项目基本情况</w:t>
      </w:r>
      <w:bookmarkEnd w:id="6"/>
      <w:bookmarkEnd w:id="7"/>
    </w:p>
    <w:p>
      <w:r>
        <w:t>（1）项目名称：</w:t>
      </w:r>
      <w:r>
        <w:rPr>
          <w:rFonts w:hint="eastAsia"/>
        </w:rPr>
        <w:t>沧州鑫拓煤矿机械有限公司煤矿用刮板输送机及煤矿机械零部件</w:t>
      </w:r>
    </w:p>
    <w:p>
      <w:r>
        <w:t>（2）建设单位：</w:t>
      </w:r>
      <w:r>
        <w:rPr>
          <w:rFonts w:hint="eastAsia"/>
        </w:rPr>
        <w:t>沧州鑫拓煤矿机械有限公司</w:t>
      </w:r>
    </w:p>
    <w:p>
      <w:r>
        <w:t>（3）项目投资：总投资为</w:t>
      </w:r>
      <w:r>
        <w:rPr>
          <w:rFonts w:hint="eastAsia"/>
        </w:rPr>
        <w:t>2000万元</w:t>
      </w:r>
      <w:r>
        <w:t>，其中环保投资</w:t>
      </w:r>
      <w:r>
        <w:rPr>
          <w:rFonts w:hint="eastAsia"/>
        </w:rPr>
        <w:t>20</w:t>
      </w:r>
      <w:r>
        <w:t>万元</w:t>
      </w:r>
      <w:r>
        <w:rPr>
          <w:rFonts w:hint="eastAsia"/>
        </w:rPr>
        <w:t>，占总投资比例为1%</w:t>
      </w:r>
      <w:r>
        <w:t>。</w:t>
      </w:r>
    </w:p>
    <w:p>
      <w:r>
        <w:t>（4）建设地点：</w:t>
      </w:r>
      <w:r>
        <w:rPr>
          <w:rFonts w:hint="eastAsia" w:ascii="宋体" w:hAnsi="宋体"/>
          <w:kern w:val="0"/>
        </w:rPr>
        <w:t>项目</w:t>
      </w:r>
      <w:r>
        <w:rPr>
          <w:rFonts w:hint="eastAsia"/>
        </w:rPr>
        <w:t>位于</w:t>
      </w:r>
      <w:r>
        <w:rPr>
          <w:rFonts w:hint="eastAsia" w:hAnsi="宋体"/>
        </w:rPr>
        <w:t>东光县连镇镇前一街，</w:t>
      </w:r>
      <w:r>
        <w:t>中心</w:t>
      </w:r>
      <w:r>
        <w:rPr>
          <w:rFonts w:hint="eastAsia"/>
        </w:rPr>
        <w:t>地理</w:t>
      </w:r>
      <w:r>
        <w:t>坐标为</w:t>
      </w:r>
      <w:r>
        <w:rPr>
          <w:rFonts w:hint="eastAsia"/>
        </w:rPr>
        <w:t>东经116°28'49.74"，北纬37°47'26.86"，东临村内公路，西邻铁路、距离50米。北侧为连镇镇前一街、距离50米，南侧为公路。西距连镇镇后一街100米。</w:t>
      </w:r>
    </w:p>
    <w:p>
      <w:r>
        <w:t>（5）建设规模：项目</w:t>
      </w:r>
      <w:r>
        <w:rPr>
          <w:rFonts w:hint="eastAsia"/>
        </w:rPr>
        <w:t>占地面积83937m</w:t>
      </w:r>
      <w:r>
        <w:rPr>
          <w:rFonts w:hint="eastAsia"/>
          <w:vertAlign w:val="superscript"/>
        </w:rPr>
        <w:t>2</w:t>
      </w:r>
      <w:r>
        <w:rPr>
          <w:rFonts w:hint="eastAsia"/>
        </w:rPr>
        <w:t>，项目拟建煤矿输送机及煤矿机械零部件生产线一条，建筑面积8000m</w:t>
      </w:r>
      <w:r>
        <w:rPr>
          <w:rFonts w:hint="eastAsia"/>
          <w:vertAlign w:val="superscript"/>
        </w:rPr>
        <w:t>2</w:t>
      </w:r>
      <w:r>
        <w:rPr>
          <w:rFonts w:hint="eastAsia"/>
        </w:rPr>
        <w:t>，建设内容包括：生产车间、办公区等。</w:t>
      </w:r>
      <w:r>
        <w:t xml:space="preserve"> </w:t>
      </w:r>
    </w:p>
    <w:p>
      <w:pPr>
        <w:pStyle w:val="3"/>
      </w:pPr>
      <w:bookmarkStart w:id="8" w:name="_Toc1807"/>
      <w:bookmarkStart w:id="9" w:name="_Toc505550585"/>
      <w:r>
        <w:t>3.2 主要生产设备</w:t>
      </w:r>
      <w:bookmarkEnd w:id="8"/>
      <w:bookmarkEnd w:id="9"/>
    </w:p>
    <w:p>
      <w:r>
        <w:t>本项目主要生产设备见表</w:t>
      </w:r>
      <w:r>
        <w:rPr>
          <w:rFonts w:hint="eastAsia"/>
        </w:rPr>
        <w:t>1</w:t>
      </w:r>
    </w:p>
    <w:p>
      <w:pPr>
        <w:pStyle w:val="45"/>
      </w:pPr>
      <w:r>
        <w:t>表</w:t>
      </w:r>
      <w:r>
        <w:rPr>
          <w:rFonts w:hint="eastAsia"/>
        </w:rPr>
        <w:t>1</w:t>
      </w:r>
      <w:r>
        <w:t>主要生产设备一览表</w:t>
      </w:r>
    </w:p>
    <w:tbl>
      <w:tblPr>
        <w:tblStyle w:val="27"/>
        <w:tblW w:w="9371" w:type="dxa"/>
        <w:jc w:val="center"/>
        <w:tblInd w:w="93" w:type="dxa"/>
        <w:tblLayout w:type="fixed"/>
        <w:tblCellMar>
          <w:top w:w="15" w:type="dxa"/>
          <w:left w:w="108" w:type="dxa"/>
          <w:bottom w:w="15" w:type="dxa"/>
          <w:right w:w="108" w:type="dxa"/>
        </w:tblCellMar>
      </w:tblPr>
      <w:tblGrid>
        <w:gridCol w:w="698"/>
        <w:gridCol w:w="2503"/>
        <w:gridCol w:w="2016"/>
        <w:gridCol w:w="845"/>
        <w:gridCol w:w="1366"/>
        <w:gridCol w:w="1943"/>
      </w:tblGrid>
      <w:tr>
        <w:tblPrEx>
          <w:tblLayout w:type="fixed"/>
          <w:tblCellMar>
            <w:top w:w="15" w:type="dxa"/>
            <w:left w:w="108" w:type="dxa"/>
            <w:bottom w:w="15" w:type="dxa"/>
            <w:right w:w="108" w:type="dxa"/>
          </w:tblCellMar>
        </w:tblPrEx>
        <w:trPr>
          <w:trHeight w:val="375"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序号</w:t>
            </w:r>
          </w:p>
        </w:tc>
        <w:tc>
          <w:tcPr>
            <w:tcW w:w="250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名称</w:t>
            </w:r>
          </w:p>
        </w:tc>
        <w:tc>
          <w:tcPr>
            <w:tcW w:w="2016" w:type="dxa"/>
            <w:tcBorders>
              <w:top w:val="single" w:color="000000" w:sz="4" w:space="0"/>
              <w:bottom w:val="single" w:color="000000" w:sz="4" w:space="0"/>
            </w:tcBorders>
            <w:vAlign w:val="center"/>
          </w:tcPr>
          <w:p>
            <w:pPr>
              <w:ind w:firstLine="0" w:firstLineChars="0"/>
              <w:rPr>
                <w:kern w:val="0"/>
              </w:rPr>
            </w:pPr>
            <w:r>
              <w:rPr>
                <w:rFonts w:hint="eastAsia"/>
                <w:kern w:val="0"/>
              </w:rPr>
              <w:t>型号</w:t>
            </w:r>
          </w:p>
        </w:tc>
        <w:tc>
          <w:tcPr>
            <w:tcW w:w="845" w:type="dxa"/>
            <w:tcBorders>
              <w:top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单位</w:t>
            </w:r>
          </w:p>
        </w:tc>
        <w:tc>
          <w:tcPr>
            <w:tcW w:w="1366"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数量</w:t>
            </w:r>
          </w:p>
        </w:tc>
        <w:tc>
          <w:tcPr>
            <w:tcW w:w="1943"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kern w:val="0"/>
              </w:rPr>
            </w:pPr>
            <w:r>
              <w:rPr>
                <w:rFonts w:hint="eastAsia"/>
                <w:kern w:val="0"/>
              </w:rPr>
              <w:t>与环评文件的符合性</w:t>
            </w:r>
          </w:p>
        </w:tc>
      </w:tr>
      <w:tr>
        <w:tblPrEx>
          <w:tblLayout w:type="fixed"/>
          <w:tblCellMar>
            <w:top w:w="15" w:type="dxa"/>
            <w:left w:w="108" w:type="dxa"/>
            <w:bottom w:w="15" w:type="dxa"/>
            <w:right w:w="108" w:type="dxa"/>
          </w:tblCellMar>
        </w:tblPrEx>
        <w:trPr>
          <w:trHeight w:val="495"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1</w:t>
            </w:r>
          </w:p>
        </w:tc>
        <w:tc>
          <w:tcPr>
            <w:tcW w:w="250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二氧化碳气保焊机</w:t>
            </w:r>
          </w:p>
        </w:tc>
        <w:tc>
          <w:tcPr>
            <w:tcW w:w="2016" w:type="dxa"/>
            <w:tcBorders>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NBC-500</w:t>
            </w:r>
          </w:p>
        </w:tc>
        <w:tc>
          <w:tcPr>
            <w:tcW w:w="84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台</w:t>
            </w:r>
          </w:p>
        </w:tc>
        <w:tc>
          <w:tcPr>
            <w:tcW w:w="136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6</w:t>
            </w:r>
          </w:p>
        </w:tc>
        <w:tc>
          <w:tcPr>
            <w:tcW w:w="194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kern w:val="0"/>
              </w:rPr>
              <w:t>与环评文件一致</w:t>
            </w:r>
          </w:p>
        </w:tc>
      </w:tr>
      <w:tr>
        <w:tblPrEx>
          <w:tblLayout w:type="fixed"/>
          <w:tblCellMar>
            <w:top w:w="15" w:type="dxa"/>
            <w:left w:w="108" w:type="dxa"/>
            <w:bottom w:w="15" w:type="dxa"/>
            <w:right w:w="108" w:type="dxa"/>
          </w:tblCellMar>
        </w:tblPrEx>
        <w:trPr>
          <w:trHeight w:val="495"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2</w:t>
            </w:r>
          </w:p>
        </w:tc>
        <w:tc>
          <w:tcPr>
            <w:tcW w:w="250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移动式焊烟净化器</w:t>
            </w:r>
          </w:p>
        </w:tc>
        <w:tc>
          <w:tcPr>
            <w:tcW w:w="2016"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p>
        </w:tc>
        <w:tc>
          <w:tcPr>
            <w:tcW w:w="84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台</w:t>
            </w:r>
          </w:p>
        </w:tc>
        <w:tc>
          <w:tcPr>
            <w:tcW w:w="136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6</w:t>
            </w:r>
          </w:p>
        </w:tc>
        <w:tc>
          <w:tcPr>
            <w:tcW w:w="194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kern w:val="0"/>
              </w:rPr>
              <w:t>与环评文件一致</w:t>
            </w:r>
          </w:p>
        </w:tc>
      </w:tr>
      <w:tr>
        <w:tblPrEx>
          <w:tblLayout w:type="fixed"/>
          <w:tblCellMar>
            <w:top w:w="15" w:type="dxa"/>
            <w:left w:w="108" w:type="dxa"/>
            <w:bottom w:w="15" w:type="dxa"/>
            <w:right w:w="108" w:type="dxa"/>
          </w:tblCellMar>
        </w:tblPrEx>
        <w:trPr>
          <w:trHeight w:val="495"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3</w:t>
            </w:r>
          </w:p>
        </w:tc>
        <w:tc>
          <w:tcPr>
            <w:tcW w:w="250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龙门式液压机</w:t>
            </w:r>
          </w:p>
        </w:tc>
        <w:tc>
          <w:tcPr>
            <w:tcW w:w="2016"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YHD78-500T</w:t>
            </w:r>
          </w:p>
        </w:tc>
        <w:tc>
          <w:tcPr>
            <w:tcW w:w="84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台</w:t>
            </w:r>
          </w:p>
        </w:tc>
        <w:tc>
          <w:tcPr>
            <w:tcW w:w="136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2</w:t>
            </w:r>
          </w:p>
        </w:tc>
        <w:tc>
          <w:tcPr>
            <w:tcW w:w="194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kern w:val="0"/>
              </w:rPr>
              <w:t>与环评文件一致</w:t>
            </w:r>
          </w:p>
        </w:tc>
      </w:tr>
      <w:tr>
        <w:tblPrEx>
          <w:tblLayout w:type="fixed"/>
          <w:tblCellMar>
            <w:top w:w="15" w:type="dxa"/>
            <w:left w:w="108" w:type="dxa"/>
            <w:bottom w:w="15" w:type="dxa"/>
            <w:right w:w="108" w:type="dxa"/>
          </w:tblCellMar>
        </w:tblPrEx>
        <w:trPr>
          <w:trHeight w:val="495"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4</w:t>
            </w:r>
          </w:p>
        </w:tc>
        <w:tc>
          <w:tcPr>
            <w:tcW w:w="250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高主筋双面对头镗铣</w:t>
            </w:r>
          </w:p>
        </w:tc>
        <w:tc>
          <w:tcPr>
            <w:tcW w:w="2016"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CY-U1016-ZM</w:t>
            </w:r>
          </w:p>
        </w:tc>
        <w:tc>
          <w:tcPr>
            <w:tcW w:w="84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台</w:t>
            </w:r>
          </w:p>
        </w:tc>
        <w:tc>
          <w:tcPr>
            <w:tcW w:w="136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1</w:t>
            </w:r>
          </w:p>
        </w:tc>
        <w:tc>
          <w:tcPr>
            <w:tcW w:w="194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kern w:val="0"/>
              </w:rPr>
              <w:t>与环评文件一致</w:t>
            </w:r>
          </w:p>
        </w:tc>
      </w:tr>
      <w:tr>
        <w:tblPrEx>
          <w:tblLayout w:type="fixed"/>
          <w:tblCellMar>
            <w:top w:w="15" w:type="dxa"/>
            <w:left w:w="108" w:type="dxa"/>
            <w:bottom w:w="15" w:type="dxa"/>
            <w:right w:w="108" w:type="dxa"/>
          </w:tblCellMar>
        </w:tblPrEx>
        <w:trPr>
          <w:trHeight w:val="495"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5</w:t>
            </w:r>
          </w:p>
        </w:tc>
        <w:tc>
          <w:tcPr>
            <w:tcW w:w="250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整体加工对头镗铣</w:t>
            </w:r>
          </w:p>
        </w:tc>
        <w:tc>
          <w:tcPr>
            <w:tcW w:w="2016"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CY-U1015-ZM</w:t>
            </w:r>
          </w:p>
        </w:tc>
        <w:tc>
          <w:tcPr>
            <w:tcW w:w="84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台</w:t>
            </w:r>
          </w:p>
        </w:tc>
        <w:tc>
          <w:tcPr>
            <w:tcW w:w="136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1</w:t>
            </w:r>
          </w:p>
        </w:tc>
        <w:tc>
          <w:tcPr>
            <w:tcW w:w="194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kern w:val="0"/>
              </w:rPr>
              <w:t>与环评文件一致</w:t>
            </w:r>
          </w:p>
        </w:tc>
      </w:tr>
      <w:tr>
        <w:tblPrEx>
          <w:tblLayout w:type="fixed"/>
          <w:tblCellMar>
            <w:top w:w="15" w:type="dxa"/>
            <w:left w:w="108" w:type="dxa"/>
            <w:bottom w:w="15" w:type="dxa"/>
            <w:right w:w="108" w:type="dxa"/>
          </w:tblCellMar>
        </w:tblPrEx>
        <w:trPr>
          <w:trHeight w:val="495"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6</w:t>
            </w:r>
          </w:p>
        </w:tc>
        <w:tc>
          <w:tcPr>
            <w:tcW w:w="250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摇臂钻床</w:t>
            </w:r>
          </w:p>
        </w:tc>
        <w:tc>
          <w:tcPr>
            <w:tcW w:w="2016"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Z3040×16/1</w:t>
            </w:r>
          </w:p>
        </w:tc>
        <w:tc>
          <w:tcPr>
            <w:tcW w:w="84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台</w:t>
            </w:r>
          </w:p>
        </w:tc>
        <w:tc>
          <w:tcPr>
            <w:tcW w:w="136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2</w:t>
            </w:r>
          </w:p>
        </w:tc>
        <w:tc>
          <w:tcPr>
            <w:tcW w:w="194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kern w:val="0"/>
              </w:rPr>
              <w:t>与环评文件一致</w:t>
            </w:r>
          </w:p>
        </w:tc>
      </w:tr>
      <w:tr>
        <w:tblPrEx>
          <w:tblLayout w:type="fixed"/>
          <w:tblCellMar>
            <w:top w:w="15" w:type="dxa"/>
            <w:left w:w="108" w:type="dxa"/>
            <w:bottom w:w="15" w:type="dxa"/>
            <w:right w:w="108" w:type="dxa"/>
          </w:tblCellMar>
        </w:tblPrEx>
        <w:trPr>
          <w:trHeight w:val="495"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7</w:t>
            </w:r>
          </w:p>
        </w:tc>
        <w:tc>
          <w:tcPr>
            <w:tcW w:w="250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摇臂钻床</w:t>
            </w:r>
          </w:p>
        </w:tc>
        <w:tc>
          <w:tcPr>
            <w:tcW w:w="2016"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Z3080×25</w:t>
            </w:r>
          </w:p>
        </w:tc>
        <w:tc>
          <w:tcPr>
            <w:tcW w:w="84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台</w:t>
            </w:r>
          </w:p>
        </w:tc>
        <w:tc>
          <w:tcPr>
            <w:tcW w:w="136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2</w:t>
            </w:r>
          </w:p>
        </w:tc>
        <w:tc>
          <w:tcPr>
            <w:tcW w:w="194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kern w:val="0"/>
              </w:rPr>
              <w:t>与环评文件一致</w:t>
            </w:r>
          </w:p>
        </w:tc>
      </w:tr>
      <w:tr>
        <w:tblPrEx>
          <w:tblLayout w:type="fixed"/>
          <w:tblCellMar>
            <w:top w:w="15" w:type="dxa"/>
            <w:left w:w="108" w:type="dxa"/>
            <w:bottom w:w="15" w:type="dxa"/>
            <w:right w:w="108" w:type="dxa"/>
          </w:tblCellMar>
        </w:tblPrEx>
        <w:trPr>
          <w:trHeight w:val="495"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8</w:t>
            </w:r>
          </w:p>
        </w:tc>
        <w:tc>
          <w:tcPr>
            <w:tcW w:w="2503" w:type="dxa"/>
            <w:vAlign w:val="center"/>
          </w:tcPr>
          <w:p>
            <w:pPr>
              <w:ind w:firstLine="0" w:firstLineChars="0"/>
              <w:rPr>
                <w:kern w:val="0"/>
              </w:rPr>
            </w:pPr>
            <w:r>
              <w:rPr>
                <w:rFonts w:hint="eastAsia"/>
                <w:kern w:val="0"/>
              </w:rPr>
              <w:t>摇臂钻床</w:t>
            </w:r>
          </w:p>
        </w:tc>
        <w:tc>
          <w:tcPr>
            <w:tcW w:w="2016"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Z3050×16/1</w:t>
            </w:r>
          </w:p>
        </w:tc>
        <w:tc>
          <w:tcPr>
            <w:tcW w:w="84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台</w:t>
            </w:r>
          </w:p>
        </w:tc>
        <w:tc>
          <w:tcPr>
            <w:tcW w:w="1366" w:type="dxa"/>
            <w:vAlign w:val="center"/>
          </w:tcPr>
          <w:p>
            <w:pPr>
              <w:ind w:firstLine="0" w:firstLineChars="0"/>
              <w:jc w:val="center"/>
              <w:rPr>
                <w:kern w:val="0"/>
              </w:rPr>
            </w:pPr>
            <w:r>
              <w:rPr>
                <w:rFonts w:hint="eastAsia"/>
                <w:kern w:val="0"/>
              </w:rPr>
              <w:t>2</w:t>
            </w:r>
          </w:p>
        </w:tc>
        <w:tc>
          <w:tcPr>
            <w:tcW w:w="194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kern w:val="0"/>
              </w:rPr>
              <w:t>与环评文件一致</w:t>
            </w:r>
          </w:p>
        </w:tc>
      </w:tr>
      <w:tr>
        <w:tblPrEx>
          <w:tblLayout w:type="fixed"/>
          <w:tblCellMar>
            <w:top w:w="15" w:type="dxa"/>
            <w:left w:w="108" w:type="dxa"/>
            <w:bottom w:w="15" w:type="dxa"/>
            <w:right w:w="108" w:type="dxa"/>
          </w:tblCellMar>
        </w:tblPrEx>
        <w:trPr>
          <w:trHeight w:val="495"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9</w:t>
            </w:r>
          </w:p>
        </w:tc>
        <w:tc>
          <w:tcPr>
            <w:tcW w:w="250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铣边机</w:t>
            </w:r>
          </w:p>
        </w:tc>
        <w:tc>
          <w:tcPr>
            <w:tcW w:w="2016"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IX×40</w:t>
            </w:r>
          </w:p>
        </w:tc>
        <w:tc>
          <w:tcPr>
            <w:tcW w:w="84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台</w:t>
            </w:r>
          </w:p>
        </w:tc>
        <w:tc>
          <w:tcPr>
            <w:tcW w:w="136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3</w:t>
            </w:r>
          </w:p>
        </w:tc>
        <w:tc>
          <w:tcPr>
            <w:tcW w:w="194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kern w:val="0"/>
              </w:rPr>
              <w:t>与环评文件一致</w:t>
            </w:r>
          </w:p>
        </w:tc>
      </w:tr>
      <w:tr>
        <w:tblPrEx>
          <w:tblLayout w:type="fixed"/>
          <w:tblCellMar>
            <w:top w:w="15" w:type="dxa"/>
            <w:left w:w="108" w:type="dxa"/>
            <w:bottom w:w="15" w:type="dxa"/>
            <w:right w:w="108" w:type="dxa"/>
          </w:tblCellMar>
        </w:tblPrEx>
        <w:trPr>
          <w:trHeight w:val="495"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10</w:t>
            </w:r>
          </w:p>
        </w:tc>
        <w:tc>
          <w:tcPr>
            <w:tcW w:w="250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半门式起重机</w:t>
            </w:r>
          </w:p>
        </w:tc>
        <w:tc>
          <w:tcPr>
            <w:tcW w:w="2016"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5T</w:t>
            </w:r>
          </w:p>
        </w:tc>
        <w:tc>
          <w:tcPr>
            <w:tcW w:w="84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台</w:t>
            </w:r>
          </w:p>
        </w:tc>
        <w:tc>
          <w:tcPr>
            <w:tcW w:w="136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32</w:t>
            </w:r>
          </w:p>
        </w:tc>
        <w:tc>
          <w:tcPr>
            <w:tcW w:w="194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kern w:val="0"/>
              </w:rPr>
              <w:t>与环评文件一致</w:t>
            </w:r>
          </w:p>
        </w:tc>
      </w:tr>
      <w:tr>
        <w:tblPrEx>
          <w:tblLayout w:type="fixed"/>
          <w:tblCellMar>
            <w:top w:w="15" w:type="dxa"/>
            <w:left w:w="108" w:type="dxa"/>
            <w:bottom w:w="15" w:type="dxa"/>
            <w:right w:w="108" w:type="dxa"/>
          </w:tblCellMar>
        </w:tblPrEx>
        <w:trPr>
          <w:trHeight w:val="495"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11</w:t>
            </w:r>
          </w:p>
        </w:tc>
        <w:tc>
          <w:tcPr>
            <w:tcW w:w="250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葫芦单梁桥式起重机</w:t>
            </w:r>
          </w:p>
        </w:tc>
        <w:tc>
          <w:tcPr>
            <w:tcW w:w="2016"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5T</w:t>
            </w:r>
          </w:p>
        </w:tc>
        <w:tc>
          <w:tcPr>
            <w:tcW w:w="84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台</w:t>
            </w:r>
          </w:p>
        </w:tc>
        <w:tc>
          <w:tcPr>
            <w:tcW w:w="136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1</w:t>
            </w:r>
          </w:p>
        </w:tc>
        <w:tc>
          <w:tcPr>
            <w:tcW w:w="194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kern w:val="0"/>
              </w:rPr>
              <w:t>与环评文件一致</w:t>
            </w:r>
          </w:p>
        </w:tc>
      </w:tr>
      <w:tr>
        <w:tblPrEx>
          <w:tblLayout w:type="fixed"/>
          <w:tblCellMar>
            <w:top w:w="15" w:type="dxa"/>
            <w:left w:w="108" w:type="dxa"/>
            <w:bottom w:w="15" w:type="dxa"/>
            <w:right w:w="108" w:type="dxa"/>
          </w:tblCellMar>
        </w:tblPrEx>
        <w:trPr>
          <w:trHeight w:val="495"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12</w:t>
            </w:r>
          </w:p>
        </w:tc>
        <w:tc>
          <w:tcPr>
            <w:tcW w:w="250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葫芦梁桥式起重机</w:t>
            </w:r>
          </w:p>
        </w:tc>
        <w:tc>
          <w:tcPr>
            <w:tcW w:w="2016"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10T</w:t>
            </w:r>
          </w:p>
        </w:tc>
        <w:tc>
          <w:tcPr>
            <w:tcW w:w="84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台</w:t>
            </w:r>
          </w:p>
        </w:tc>
        <w:tc>
          <w:tcPr>
            <w:tcW w:w="136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14</w:t>
            </w:r>
          </w:p>
        </w:tc>
        <w:tc>
          <w:tcPr>
            <w:tcW w:w="194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kern w:val="0"/>
              </w:rPr>
              <w:t>与环评文件一致</w:t>
            </w:r>
          </w:p>
        </w:tc>
      </w:tr>
      <w:tr>
        <w:tblPrEx>
          <w:tblLayout w:type="fixed"/>
          <w:tblCellMar>
            <w:top w:w="15" w:type="dxa"/>
            <w:left w:w="108" w:type="dxa"/>
            <w:bottom w:w="15" w:type="dxa"/>
            <w:right w:w="108" w:type="dxa"/>
          </w:tblCellMar>
        </w:tblPrEx>
        <w:trPr>
          <w:trHeight w:val="495"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13</w:t>
            </w:r>
          </w:p>
        </w:tc>
        <w:tc>
          <w:tcPr>
            <w:tcW w:w="250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折弯机</w:t>
            </w:r>
          </w:p>
        </w:tc>
        <w:tc>
          <w:tcPr>
            <w:tcW w:w="2016"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rFonts w:hint="eastAsia"/>
                <w:kern w:val="0"/>
              </w:rPr>
              <w:t>WE67K-600T/400</w:t>
            </w:r>
          </w:p>
        </w:tc>
        <w:tc>
          <w:tcPr>
            <w:tcW w:w="84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台</w:t>
            </w:r>
          </w:p>
        </w:tc>
        <w:tc>
          <w:tcPr>
            <w:tcW w:w="136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kern w:val="0"/>
              </w:rPr>
            </w:pPr>
            <w:r>
              <w:rPr>
                <w:rFonts w:hint="eastAsia"/>
                <w:kern w:val="0"/>
              </w:rPr>
              <w:t>1</w:t>
            </w:r>
          </w:p>
        </w:tc>
        <w:tc>
          <w:tcPr>
            <w:tcW w:w="1943" w:type="dxa"/>
            <w:tcBorders>
              <w:top w:val="single" w:color="000000" w:sz="4" w:space="0"/>
              <w:left w:val="single" w:color="000000" w:sz="4" w:space="0"/>
              <w:bottom w:val="single" w:color="000000" w:sz="4" w:space="0"/>
              <w:right w:val="single" w:color="000000" w:sz="4" w:space="0"/>
            </w:tcBorders>
            <w:vAlign w:val="center"/>
          </w:tcPr>
          <w:p>
            <w:pPr>
              <w:ind w:firstLine="0" w:firstLineChars="0"/>
              <w:rPr>
                <w:kern w:val="0"/>
              </w:rPr>
            </w:pPr>
            <w:r>
              <w:rPr>
                <w:kern w:val="0"/>
              </w:rPr>
              <w:t>与环评文件一致</w:t>
            </w:r>
          </w:p>
        </w:tc>
      </w:tr>
    </w:tbl>
    <w:p>
      <w:pPr>
        <w:rPr>
          <w:rFonts w:hint="eastAsia"/>
        </w:rPr>
      </w:pPr>
      <w:bookmarkStart w:id="10" w:name="_Toc505550586"/>
    </w:p>
    <w:p>
      <w:pPr>
        <w:pStyle w:val="3"/>
      </w:pPr>
      <w:r>
        <w:t>3.</w:t>
      </w:r>
      <w:r>
        <w:rPr>
          <w:rFonts w:hint="eastAsia"/>
        </w:rPr>
        <w:t>3</w:t>
      </w:r>
      <w:r>
        <w:t>主要</w:t>
      </w:r>
      <w:r>
        <w:rPr>
          <w:rFonts w:hint="eastAsia"/>
        </w:rPr>
        <w:t>原辅材料消耗</w:t>
      </w:r>
      <w:bookmarkEnd w:id="10"/>
    </w:p>
    <w:p>
      <w:pPr>
        <w:pStyle w:val="45"/>
        <w:rPr>
          <w:rFonts w:hint="eastAsia"/>
        </w:rPr>
      </w:pPr>
    </w:p>
    <w:p>
      <w:pPr>
        <w:pStyle w:val="45"/>
      </w:pPr>
      <w:r>
        <w:rPr>
          <w:rFonts w:hint="eastAsia"/>
        </w:rPr>
        <w:t>表2变更后原辅材料消耗一览表</w:t>
      </w:r>
    </w:p>
    <w:p>
      <w:pPr>
        <w:pStyle w:val="45"/>
      </w:pPr>
    </w:p>
    <w:tbl>
      <w:tblPr>
        <w:tblStyle w:val="27"/>
        <w:tblW w:w="8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1673"/>
        <w:gridCol w:w="1373"/>
        <w:gridCol w:w="1057"/>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129" w:type="dxa"/>
            <w:vAlign w:val="center"/>
          </w:tcPr>
          <w:p>
            <w:pPr>
              <w:ind w:firstLine="0" w:firstLineChars="0"/>
            </w:pPr>
            <w:r>
              <w:t>项目</w:t>
            </w:r>
          </w:p>
        </w:tc>
        <w:tc>
          <w:tcPr>
            <w:tcW w:w="1701" w:type="dxa"/>
            <w:vAlign w:val="center"/>
          </w:tcPr>
          <w:p>
            <w:pPr>
              <w:ind w:firstLine="0" w:firstLineChars="0"/>
            </w:pPr>
            <w:r>
              <w:t>名称</w:t>
            </w:r>
          </w:p>
        </w:tc>
        <w:tc>
          <w:tcPr>
            <w:tcW w:w="1673" w:type="dxa"/>
            <w:vAlign w:val="center"/>
          </w:tcPr>
          <w:p>
            <w:pPr>
              <w:ind w:firstLine="0" w:firstLineChars="0"/>
            </w:pPr>
            <w:r>
              <w:t>年用量</w:t>
            </w:r>
          </w:p>
        </w:tc>
        <w:tc>
          <w:tcPr>
            <w:tcW w:w="1373" w:type="dxa"/>
            <w:vAlign w:val="center"/>
          </w:tcPr>
          <w:p>
            <w:pPr>
              <w:ind w:firstLine="0" w:firstLineChars="0"/>
            </w:pPr>
            <w:r>
              <w:t>形态</w:t>
            </w:r>
          </w:p>
        </w:tc>
        <w:tc>
          <w:tcPr>
            <w:tcW w:w="1057" w:type="dxa"/>
            <w:vAlign w:val="center"/>
          </w:tcPr>
          <w:p>
            <w:pPr>
              <w:ind w:firstLine="0" w:firstLineChars="0"/>
            </w:pPr>
            <w:r>
              <w:rPr>
                <w:rFonts w:hint="eastAsia"/>
              </w:rPr>
              <w:t>单位</w:t>
            </w:r>
          </w:p>
        </w:tc>
        <w:tc>
          <w:tcPr>
            <w:tcW w:w="1907" w:type="dxa"/>
            <w:vAlign w:val="center"/>
          </w:tcPr>
          <w:p>
            <w:pPr>
              <w:ind w:firstLine="0" w:firstLineChars="0"/>
            </w:pPr>
            <w: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129" w:type="dxa"/>
            <w:vMerge w:val="restart"/>
            <w:vAlign w:val="center"/>
          </w:tcPr>
          <w:p>
            <w:pPr>
              <w:ind w:firstLine="0" w:firstLineChars="0"/>
            </w:pPr>
            <w:r>
              <w:rPr>
                <w:rFonts w:hint="eastAsia"/>
              </w:rPr>
              <w:t>生产车间</w:t>
            </w:r>
          </w:p>
        </w:tc>
        <w:tc>
          <w:tcPr>
            <w:tcW w:w="1701" w:type="dxa"/>
            <w:vAlign w:val="center"/>
          </w:tcPr>
          <w:p>
            <w:pPr>
              <w:pStyle w:val="9"/>
              <w:ind w:firstLine="0" w:firstLineChars="0"/>
            </w:pPr>
            <w:r>
              <w:rPr>
                <w:rFonts w:hint="eastAsia"/>
              </w:rPr>
              <w:t>钢板成型料</w:t>
            </w:r>
          </w:p>
        </w:tc>
        <w:tc>
          <w:tcPr>
            <w:tcW w:w="1673" w:type="dxa"/>
            <w:vAlign w:val="center"/>
          </w:tcPr>
          <w:p>
            <w:pPr>
              <w:ind w:firstLine="0" w:firstLineChars="0"/>
            </w:pPr>
            <w:r>
              <w:rPr>
                <w:rFonts w:hint="eastAsia"/>
              </w:rPr>
              <w:t>4000</w:t>
            </w:r>
          </w:p>
        </w:tc>
        <w:tc>
          <w:tcPr>
            <w:tcW w:w="1373" w:type="dxa"/>
            <w:vAlign w:val="center"/>
          </w:tcPr>
          <w:p>
            <w:pPr>
              <w:ind w:firstLine="0" w:firstLineChars="0"/>
            </w:pPr>
            <w:r>
              <w:rPr>
                <w:rFonts w:hint="eastAsia"/>
              </w:rPr>
              <w:t>固态</w:t>
            </w:r>
          </w:p>
        </w:tc>
        <w:tc>
          <w:tcPr>
            <w:tcW w:w="1057" w:type="dxa"/>
            <w:vAlign w:val="center"/>
          </w:tcPr>
          <w:p>
            <w:pPr>
              <w:ind w:firstLine="0" w:firstLineChars="0"/>
            </w:pPr>
            <w:r>
              <w:rPr>
                <w:rFonts w:hint="eastAsia"/>
              </w:rPr>
              <w:t>t/a</w:t>
            </w:r>
          </w:p>
        </w:tc>
        <w:tc>
          <w:tcPr>
            <w:tcW w:w="1907" w:type="dxa"/>
            <w:vAlign w:val="center"/>
          </w:tcPr>
          <w:p>
            <w:pPr>
              <w:ind w:firstLine="0" w:firstLineChars="0"/>
            </w:pPr>
            <w:r>
              <w:rPr>
                <w:rFonts w:hint="eastAsia"/>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129" w:type="dxa"/>
            <w:vMerge w:val="continue"/>
            <w:vAlign w:val="center"/>
          </w:tcPr>
          <w:p>
            <w:pPr>
              <w:ind w:firstLine="0" w:firstLineChars="0"/>
            </w:pPr>
          </w:p>
        </w:tc>
        <w:tc>
          <w:tcPr>
            <w:tcW w:w="1701" w:type="dxa"/>
            <w:vAlign w:val="center"/>
          </w:tcPr>
          <w:p>
            <w:pPr>
              <w:pStyle w:val="9"/>
              <w:ind w:firstLine="0" w:firstLineChars="0"/>
            </w:pPr>
            <w:r>
              <w:rPr>
                <w:rFonts w:hint="eastAsia"/>
              </w:rPr>
              <w:t>焊丝</w:t>
            </w:r>
          </w:p>
        </w:tc>
        <w:tc>
          <w:tcPr>
            <w:tcW w:w="1673" w:type="dxa"/>
            <w:vAlign w:val="center"/>
          </w:tcPr>
          <w:p>
            <w:pPr>
              <w:ind w:firstLine="0" w:firstLineChars="0"/>
            </w:pPr>
            <w:r>
              <w:rPr>
                <w:rFonts w:hint="eastAsia"/>
              </w:rPr>
              <w:t>90</w:t>
            </w:r>
          </w:p>
        </w:tc>
        <w:tc>
          <w:tcPr>
            <w:tcW w:w="1373" w:type="dxa"/>
            <w:vAlign w:val="center"/>
          </w:tcPr>
          <w:p>
            <w:pPr>
              <w:ind w:firstLine="0" w:firstLineChars="0"/>
            </w:pPr>
            <w:r>
              <w:rPr>
                <w:rFonts w:hint="eastAsia"/>
              </w:rPr>
              <w:t>固态</w:t>
            </w:r>
          </w:p>
        </w:tc>
        <w:tc>
          <w:tcPr>
            <w:tcW w:w="1057" w:type="dxa"/>
            <w:vAlign w:val="center"/>
          </w:tcPr>
          <w:p>
            <w:pPr>
              <w:ind w:firstLine="0" w:firstLineChars="0"/>
            </w:pPr>
            <w:r>
              <w:rPr>
                <w:rFonts w:hint="eastAsia"/>
              </w:rPr>
              <w:t>t/a</w:t>
            </w:r>
          </w:p>
        </w:tc>
        <w:tc>
          <w:tcPr>
            <w:tcW w:w="1907" w:type="dxa"/>
            <w:vAlign w:val="center"/>
          </w:tcPr>
          <w:p>
            <w:pPr>
              <w:ind w:firstLine="0" w:firstLineChars="0"/>
            </w:pPr>
            <w: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129" w:type="dxa"/>
            <w:vMerge w:val="continue"/>
            <w:vAlign w:val="center"/>
          </w:tcPr>
          <w:p>
            <w:pPr>
              <w:ind w:firstLine="0" w:firstLineChars="0"/>
            </w:pPr>
          </w:p>
        </w:tc>
        <w:tc>
          <w:tcPr>
            <w:tcW w:w="1701" w:type="dxa"/>
            <w:vAlign w:val="center"/>
          </w:tcPr>
          <w:p>
            <w:pPr>
              <w:pStyle w:val="9"/>
              <w:ind w:firstLine="0" w:firstLineChars="0"/>
            </w:pPr>
            <w:r>
              <w:rPr>
                <w:rFonts w:hint="eastAsia"/>
              </w:rPr>
              <w:t>二氧化碳气体</w:t>
            </w:r>
          </w:p>
        </w:tc>
        <w:tc>
          <w:tcPr>
            <w:tcW w:w="1673" w:type="dxa"/>
            <w:vAlign w:val="center"/>
          </w:tcPr>
          <w:p>
            <w:pPr>
              <w:ind w:firstLine="0" w:firstLineChars="0"/>
            </w:pPr>
            <w:r>
              <w:rPr>
                <w:rFonts w:hint="eastAsia"/>
              </w:rPr>
              <w:t>150</w:t>
            </w:r>
          </w:p>
        </w:tc>
        <w:tc>
          <w:tcPr>
            <w:tcW w:w="1373" w:type="dxa"/>
            <w:vAlign w:val="center"/>
          </w:tcPr>
          <w:p>
            <w:pPr>
              <w:ind w:firstLine="0" w:firstLineChars="0"/>
            </w:pPr>
            <w:r>
              <w:rPr>
                <w:rFonts w:hint="eastAsia"/>
              </w:rPr>
              <w:t>气态</w:t>
            </w:r>
          </w:p>
        </w:tc>
        <w:tc>
          <w:tcPr>
            <w:tcW w:w="1057" w:type="dxa"/>
            <w:vAlign w:val="center"/>
          </w:tcPr>
          <w:p>
            <w:pPr>
              <w:ind w:firstLine="0" w:firstLineChars="0"/>
            </w:pPr>
            <w:r>
              <w:rPr>
                <w:rFonts w:hint="eastAsia"/>
              </w:rPr>
              <w:t>t/a</w:t>
            </w:r>
          </w:p>
        </w:tc>
        <w:tc>
          <w:tcPr>
            <w:tcW w:w="1907" w:type="dxa"/>
            <w:vAlign w:val="center"/>
          </w:tcPr>
          <w:p>
            <w:pPr>
              <w:ind w:firstLine="0" w:firstLineChars="0"/>
            </w:pPr>
            <w:r>
              <w:rPr>
                <w:rFonts w:hint="eastAsia"/>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1129" w:type="dxa"/>
            <w:vAlign w:val="center"/>
          </w:tcPr>
          <w:p>
            <w:pPr>
              <w:ind w:firstLine="0" w:firstLineChars="0"/>
            </w:pPr>
            <w:r>
              <w:t>能源</w:t>
            </w:r>
          </w:p>
        </w:tc>
        <w:tc>
          <w:tcPr>
            <w:tcW w:w="1701" w:type="dxa"/>
            <w:vAlign w:val="center"/>
          </w:tcPr>
          <w:p>
            <w:pPr>
              <w:pStyle w:val="9"/>
              <w:ind w:firstLine="0" w:firstLineChars="0"/>
            </w:pPr>
            <w:r>
              <w:t>电</w:t>
            </w:r>
          </w:p>
        </w:tc>
        <w:tc>
          <w:tcPr>
            <w:tcW w:w="1673" w:type="dxa"/>
            <w:vAlign w:val="center"/>
          </w:tcPr>
          <w:p>
            <w:pPr>
              <w:ind w:firstLine="0" w:firstLineChars="0"/>
            </w:pPr>
            <w:r>
              <w:rPr>
                <w:rFonts w:hint="eastAsia"/>
              </w:rPr>
              <w:t>4.2</w:t>
            </w:r>
            <w:r>
              <w:t>万kWh</w:t>
            </w:r>
            <w:r>
              <w:rPr>
                <w:rFonts w:hint="eastAsia"/>
              </w:rPr>
              <w:t>/a</w:t>
            </w:r>
          </w:p>
        </w:tc>
        <w:tc>
          <w:tcPr>
            <w:tcW w:w="1373" w:type="dxa"/>
            <w:vAlign w:val="center"/>
          </w:tcPr>
          <w:p>
            <w:pPr>
              <w:ind w:firstLine="0" w:firstLineChars="0"/>
            </w:pPr>
            <w:r>
              <w:t>--</w:t>
            </w:r>
          </w:p>
        </w:tc>
        <w:tc>
          <w:tcPr>
            <w:tcW w:w="1057" w:type="dxa"/>
            <w:vAlign w:val="center"/>
          </w:tcPr>
          <w:p>
            <w:pPr>
              <w:ind w:firstLine="0" w:firstLineChars="0"/>
            </w:pPr>
            <w:r>
              <w:t>--</w:t>
            </w:r>
          </w:p>
        </w:tc>
        <w:tc>
          <w:tcPr>
            <w:tcW w:w="1907" w:type="dxa"/>
            <w:vAlign w:val="center"/>
          </w:tcPr>
          <w:p>
            <w:pPr>
              <w:ind w:firstLine="0" w:firstLineChars="0"/>
            </w:pPr>
            <w:r>
              <w:rPr>
                <w:rFonts w:hint="eastAsia"/>
              </w:rPr>
              <w:t>厂区变压器</w:t>
            </w:r>
          </w:p>
        </w:tc>
      </w:tr>
    </w:tbl>
    <w:p>
      <w:pPr>
        <w:pStyle w:val="45"/>
      </w:pPr>
    </w:p>
    <w:p>
      <w:pPr>
        <w:pStyle w:val="3"/>
      </w:pPr>
      <w:bookmarkStart w:id="11" w:name="_Toc4749"/>
      <w:bookmarkStart w:id="12" w:name="_Toc505550587"/>
      <w:r>
        <w:t>3.</w:t>
      </w:r>
      <w:r>
        <w:rPr>
          <w:rFonts w:hint="eastAsia"/>
        </w:rPr>
        <w:t>4</w:t>
      </w:r>
      <w:r>
        <w:t>项目生产工艺流程及产排污节点</w:t>
      </w:r>
      <w:bookmarkEnd w:id="11"/>
      <w:bookmarkEnd w:id="12"/>
    </w:p>
    <w:p/>
    <w:p>
      <w:pPr>
        <w:rPr>
          <w:rFonts w:hAnsi="宋体"/>
          <w:b/>
          <w:color w:val="000000"/>
          <w:sz w:val="28"/>
        </w:rPr>
      </w:pPr>
      <w:r>
        <w:rPr>
          <w:rFonts w:hint="eastAsia"/>
        </w:rPr>
        <w:t>本项目</w:t>
      </w:r>
      <w:r>
        <w:t>工艺流程简述（图示）</w:t>
      </w:r>
      <w:r>
        <w:rPr>
          <w:rFonts w:hAnsi="宋体"/>
          <w:b/>
          <w:color w:val="000000"/>
          <w:sz w:val="28"/>
        </w:rPr>
        <w:t>：</w:t>
      </w:r>
      <w:r>
        <w:rPr>
          <w:rFonts w:hAnsi="宋体"/>
          <w:b/>
          <w:color w:val="000000"/>
          <w:sz w:val="28"/>
        </w:rPr>
        <w:tab/>
      </w:r>
    </w:p>
    <w:p>
      <w:pPr>
        <w:pStyle w:val="9"/>
        <w:ind w:firstLine="480"/>
      </w:pPr>
      <w:r>
        <w:pict>
          <v:shape id="_x0000_s1103" o:spid="_x0000_s1103" o:spt="202" type="#_x0000_t202" style="position:absolute;left:0pt;margin-left:254.95pt;margin-top:2.5pt;height:28.5pt;width:57.8pt;z-index:251719680;mso-width-relative:page;mso-height-relative:page;" filled="f" stroked="f" coordsize="21600,21600">
            <v:path/>
            <v:fill on="f" focussize="0,0"/>
            <v:stroke on="f" joinstyle="miter"/>
            <v:imagedata o:title=""/>
            <o:lock v:ext="edit"/>
            <v:textbox>
              <w:txbxContent>
                <w:p>
                  <w:r>
                    <w:rPr>
                      <w:rFonts w:hint="eastAsia"/>
                    </w:rPr>
                    <w:t xml:space="preserve">N S </w:t>
                  </w:r>
                </w:p>
              </w:txbxContent>
            </v:textbox>
          </v:shape>
        </w:pict>
      </w:r>
      <w:r>
        <w:pict>
          <v:shape id="_x0000_s1104" o:spid="_x0000_s1104" o:spt="202" type="#_x0000_t202" style="position:absolute;left:0pt;margin-left:179.8pt;margin-top:9.6pt;height:28.5pt;width:57.8pt;z-index:251720704;mso-width-relative:page;mso-height-relative:page;" filled="f" stroked="f" coordsize="21600,21600">
            <v:path/>
            <v:fill on="f" focussize="0,0"/>
            <v:stroke on="f" joinstyle="miter"/>
            <v:imagedata o:title=""/>
            <o:lock v:ext="edit"/>
            <v:textbox>
              <w:txbxContent>
                <w:p>
                  <w:r>
                    <w:rPr>
                      <w:rFonts w:hint="eastAsia"/>
                    </w:rPr>
                    <w:t>N G</w:t>
                  </w:r>
                </w:p>
              </w:txbxContent>
            </v:textbox>
          </v:shape>
        </w:pict>
      </w:r>
      <w:r>
        <w:pict>
          <v:shape id="_x0000_s1102" o:spid="_x0000_s1102" o:spt="202" type="#_x0000_t202" style="position:absolute;left:0pt;margin-left:111.55pt;margin-top:8.1pt;height:28.5pt;width:57.8pt;z-index:251718656;mso-width-relative:page;mso-height-relative:page;" filled="f" stroked="f" coordsize="21600,21600">
            <v:path/>
            <v:fill on="f" focussize="0,0"/>
            <v:stroke on="f" joinstyle="miter"/>
            <v:imagedata o:title=""/>
            <o:lock v:ext="edit"/>
            <v:textbox>
              <w:txbxContent>
                <w:p>
                  <w:r>
                    <w:rPr>
                      <w:rFonts w:hint="eastAsia"/>
                    </w:rPr>
                    <w:t>N G</w:t>
                  </w:r>
                </w:p>
              </w:txbxContent>
            </v:textbox>
          </v:shape>
        </w:pict>
      </w:r>
    </w:p>
    <w:p>
      <w:pPr>
        <w:pStyle w:val="9"/>
        <w:ind w:firstLine="480"/>
      </w:pPr>
      <w:r>
        <w:pict>
          <v:shape id="_x0000_s1101" o:spid="_x0000_s1101" o:spt="202" type="#_x0000_t202" style="position:absolute;left:0pt;margin-left:339.5pt;margin-top:6.3pt;height:42.6pt;width:65.15pt;z-index:251717632;mso-width-relative:page;mso-height-relative:page;" filled="f" stroked="t" coordsize="21600,21600">
            <v:path/>
            <v:fill on="f" focussize="0,0"/>
            <v:stroke color="#000001" joinstyle="miter"/>
            <v:imagedata o:title=""/>
            <o:lock v:ext="edit"/>
            <v:textbox>
              <w:txbxContent>
                <w:p>
                  <w:pPr>
                    <w:ind w:firstLine="0" w:firstLineChars="0"/>
                  </w:pPr>
                  <w:r>
                    <w:rPr>
                      <w:rFonts w:hint="eastAsia"/>
                    </w:rPr>
                    <w:t>检验出厂</w:t>
                  </w:r>
                </w:p>
              </w:txbxContent>
            </v:textbox>
          </v:shape>
        </w:pict>
      </w:r>
      <w:r>
        <w:pict>
          <v:shape id="_x0000_s1095" o:spid="_x0000_s1095" o:spt="202" type="#_x0000_t202" style="position:absolute;left:0pt;margin-left:247.25pt;margin-top:7.8pt;height:41.1pt;width:71.15pt;z-index:251711488;mso-width-relative:page;mso-height-relative:page;" filled="f" stroked="t" coordsize="21600,21600">
            <v:path/>
            <v:fill on="f" focussize="0,0"/>
            <v:stroke color="#000001" joinstyle="miter"/>
            <v:imagedata o:title=""/>
            <o:lock v:ext="edit"/>
            <v:textbox>
              <w:txbxContent>
                <w:p>
                  <w:pPr>
                    <w:ind w:firstLine="0" w:firstLineChars="0"/>
                  </w:pPr>
                  <w:r>
                    <w:rPr>
                      <w:rFonts w:hint="eastAsia"/>
                    </w:rPr>
                    <w:t>打孔、镗孔</w:t>
                  </w:r>
                </w:p>
              </w:txbxContent>
            </v:textbox>
          </v:shape>
        </w:pict>
      </w:r>
      <w:r>
        <w:pict>
          <v:shape id="_x0000_s1094" o:spid="_x0000_s1094" o:spt="202" type="#_x0000_t202" style="position:absolute;left:0pt;margin-left:182.75pt;margin-top:9.3pt;height:39.6pt;width:40.5pt;z-index:251710464;mso-width-relative:page;mso-height-relative:page;" filled="f" stroked="t" coordsize="21600,21600">
            <v:path/>
            <v:fill on="f" focussize="0,0"/>
            <v:stroke color="#000001" joinstyle="miter"/>
            <v:imagedata o:title=""/>
            <o:lock v:ext="edit"/>
            <v:textbox>
              <w:txbxContent>
                <w:p>
                  <w:pPr>
                    <w:ind w:firstLine="0" w:firstLineChars="0"/>
                  </w:pPr>
                  <w:r>
                    <w:rPr>
                      <w:rFonts w:hint="eastAsia"/>
                    </w:rPr>
                    <w:t>组焊</w:t>
                  </w:r>
                </w:p>
              </w:txbxContent>
            </v:textbox>
          </v:shape>
        </w:pict>
      </w:r>
      <w:r>
        <w:pict>
          <v:shape id="_x0000_s1096" o:spid="_x0000_s1096" o:spt="202" type="#_x0000_t202" style="position:absolute;left:0pt;margin-left:107.75pt;margin-top:10.8pt;height:38.1pt;width:48.75pt;z-index:251712512;mso-width-relative:page;mso-height-relative:page;" filled="f" stroked="t" coordsize="21600,21600">
            <v:path/>
            <v:fill on="f" focussize="0,0"/>
            <v:stroke color="#000001" joinstyle="miter"/>
            <v:imagedata o:title=""/>
            <o:lock v:ext="edit"/>
            <v:textbox>
              <w:txbxContent>
                <w:p>
                  <w:pPr>
                    <w:ind w:firstLine="0" w:firstLineChars="0"/>
                  </w:pPr>
                  <w:r>
                    <w:rPr>
                      <w:rFonts w:hint="eastAsia"/>
                    </w:rPr>
                    <w:t>铆焊</w:t>
                  </w:r>
                </w:p>
              </w:txbxContent>
            </v:textbox>
          </v:shape>
        </w:pict>
      </w:r>
      <w:r>
        <w:pict>
          <v:shape id="_x0000_s1093" o:spid="_x0000_s1093" o:spt="202" type="#_x0000_t202" style="position:absolute;left:0pt;margin-left:26.1pt;margin-top:9.85pt;height:39.05pt;width:58.45pt;z-index:251709440;mso-width-relative:page;mso-height-relative:page;" filled="f" stroked="t" coordsize="21600,21600">
            <v:path/>
            <v:fill on="f" focussize="0,0"/>
            <v:stroke color="#000001" joinstyle="miter"/>
            <v:imagedata o:title=""/>
            <o:lock v:ext="edit"/>
            <v:textbox>
              <w:txbxContent>
                <w:p>
                  <w:pPr>
                    <w:ind w:firstLine="0" w:firstLineChars="0"/>
                  </w:pPr>
                  <w:r>
                    <w:rPr>
                      <w:rFonts w:hint="eastAsia"/>
                    </w:rPr>
                    <w:t>半成品</w:t>
                  </w:r>
                </w:p>
              </w:txbxContent>
            </v:textbox>
          </v:shape>
        </w:pict>
      </w:r>
      <w:r>
        <w:pict>
          <v:line id="_x0000_s1098" o:spid="_x0000_s1098" o:spt="20" style="position:absolute;left:0pt;flip:y;margin-left:317pt;margin-top:24.6pt;height:0.05pt;width:24.85pt;z-index:251714560;mso-width-relative:page;mso-height-relative:page;" stroked="t" coordsize="21600,21600">
            <v:path arrowok="t"/>
            <v:fill focussize="0,0"/>
            <v:stroke color="#000001" endarrow="block"/>
            <v:imagedata o:title=""/>
            <o:lock v:ext="edit"/>
          </v:line>
        </w:pict>
      </w:r>
    </w:p>
    <w:p>
      <w:pPr>
        <w:pStyle w:val="9"/>
        <w:ind w:firstLine="480"/>
      </w:pPr>
      <w:r>
        <w:pict>
          <v:line id="_x0000_s1099" o:spid="_x0000_s1099" o:spt="20" style="position:absolute;left:0pt;flip:y;margin-left:158.75pt;margin-top:4.05pt;height:0.05pt;width:24.85pt;z-index:251715584;mso-width-relative:page;mso-height-relative:page;" stroked="t" coordsize="21600,21600">
            <v:path arrowok="t"/>
            <v:fill focussize="0,0"/>
            <v:stroke color="#000001" endarrow="block"/>
            <v:imagedata o:title=""/>
            <o:lock v:ext="edit"/>
          </v:line>
        </w:pict>
      </w:r>
      <w:r>
        <w:pict>
          <v:line id="_x0000_s1097" o:spid="_x0000_s1097" o:spt="20" style="position:absolute;left:0pt;flip:y;margin-left:84.6pt;margin-top:9.5pt;height:0.05pt;width:24.85pt;z-index:251713536;mso-width-relative:page;mso-height-relative:page;" stroked="t" coordsize="21600,21600">
            <v:path arrowok="t"/>
            <v:fill focussize="0,0"/>
            <v:stroke color="#000001" endarrow="block"/>
            <v:imagedata o:title=""/>
            <o:lock v:ext="edit"/>
          </v:line>
        </w:pict>
      </w:r>
      <w:r>
        <w:pict>
          <v:line id="_x0000_s1100" o:spid="_x0000_s1100" o:spt="20" style="position:absolute;left:0pt;flip:y;margin-left:223.25pt;margin-top:8.3pt;height:0.05pt;width:24.85pt;z-index:251716608;mso-width-relative:page;mso-height-relative:page;" stroked="t" coordsize="21600,21600">
            <v:path arrowok="t"/>
            <v:fill focussize="0,0"/>
            <v:stroke color="#000001" endarrow="block"/>
            <v:imagedata o:title=""/>
            <o:lock v:ext="edit"/>
          </v:line>
        </w:pict>
      </w:r>
    </w:p>
    <w:p>
      <w:pPr>
        <w:pStyle w:val="9"/>
        <w:ind w:firstLine="480"/>
      </w:pPr>
      <w:r>
        <w:pict>
          <v:shape id="_x0000_s1092" o:spid="_x0000_s1092" o:spt="202" type="#_x0000_t202" style="position:absolute;left:0pt;margin-left:238.15pt;margin-top:9.2pt;height:36pt;width:192.8pt;z-index:251708416;mso-width-relative:page;mso-height-relative:page;" filled="f" stroked="f" coordsize="21600,21600">
            <v:path/>
            <v:fill on="f" focussize="0,0"/>
            <v:stroke on="f" joinstyle="miter"/>
            <v:imagedata o:title=""/>
            <o:lock v:ext="edit"/>
            <v:textbox>
              <w:txbxContent>
                <w:p>
                  <w:r>
                    <w:rPr>
                      <w:rFonts w:hint="eastAsia"/>
                    </w:rPr>
                    <w:t>固废：S，噪声：N，废气：G</w:t>
                  </w:r>
                </w:p>
              </w:txbxContent>
            </v:textbox>
          </v:shape>
        </w:pict>
      </w:r>
    </w:p>
    <w:p/>
    <w:p>
      <w:pPr>
        <w:pStyle w:val="9"/>
        <w:ind w:firstLine="480"/>
      </w:pPr>
      <w:r>
        <w:rPr>
          <w:rFonts w:hint="eastAsia"/>
        </w:rPr>
        <w:t>焊接工序增加移动式焊烟净化器的污染防治措施，因此会产生收集的废金属屑、噪声。</w:t>
      </w:r>
    </w:p>
    <w:p>
      <w:pPr>
        <w:rPr>
          <w:b/>
        </w:rPr>
      </w:pPr>
      <w:r>
        <w:rPr>
          <w:rFonts w:hint="eastAsia"/>
        </w:rPr>
        <w:t xml:space="preserve">     </w:t>
      </w:r>
      <w:r>
        <w:rPr>
          <w:rFonts w:hint="eastAsia"/>
          <w:b/>
        </w:rPr>
        <w:t>表3  排污节点一览表</w:t>
      </w:r>
    </w:p>
    <w:tbl>
      <w:tblPr>
        <w:tblStyle w:val="27"/>
        <w:tblW w:w="94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018"/>
        <w:gridCol w:w="2000"/>
        <w:gridCol w:w="2034"/>
        <w:gridCol w:w="1134"/>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1" w:type="dxa"/>
            <w:vAlign w:val="center"/>
          </w:tcPr>
          <w:p>
            <w:pPr>
              <w:ind w:firstLine="0" w:firstLineChars="0"/>
              <w:jc w:val="center"/>
            </w:pPr>
            <w:r>
              <w:rPr>
                <w:rFonts w:hint="eastAsia"/>
              </w:rPr>
              <w:t>类别</w:t>
            </w:r>
          </w:p>
        </w:tc>
        <w:tc>
          <w:tcPr>
            <w:tcW w:w="1018" w:type="dxa"/>
            <w:vAlign w:val="center"/>
          </w:tcPr>
          <w:p>
            <w:pPr>
              <w:ind w:firstLine="0" w:firstLineChars="0"/>
              <w:jc w:val="center"/>
            </w:pPr>
            <w:r>
              <w:rPr>
                <w:rFonts w:hint="eastAsia"/>
              </w:rPr>
              <w:t>序号</w:t>
            </w:r>
          </w:p>
        </w:tc>
        <w:tc>
          <w:tcPr>
            <w:tcW w:w="2000" w:type="dxa"/>
            <w:vAlign w:val="center"/>
          </w:tcPr>
          <w:p>
            <w:pPr>
              <w:ind w:firstLine="0" w:firstLineChars="0"/>
              <w:jc w:val="center"/>
            </w:pPr>
            <w:r>
              <w:rPr>
                <w:rFonts w:hint="eastAsia"/>
              </w:rPr>
              <w:t>污染源名称</w:t>
            </w:r>
          </w:p>
        </w:tc>
        <w:tc>
          <w:tcPr>
            <w:tcW w:w="2034" w:type="dxa"/>
            <w:vAlign w:val="center"/>
          </w:tcPr>
          <w:p>
            <w:pPr>
              <w:ind w:firstLine="0" w:firstLineChars="0"/>
              <w:jc w:val="center"/>
            </w:pPr>
            <w:r>
              <w:rPr>
                <w:rFonts w:hint="eastAsia"/>
              </w:rPr>
              <w:t>主要污染物</w:t>
            </w:r>
          </w:p>
        </w:tc>
        <w:tc>
          <w:tcPr>
            <w:tcW w:w="1134" w:type="dxa"/>
            <w:vAlign w:val="center"/>
          </w:tcPr>
          <w:p>
            <w:pPr>
              <w:ind w:firstLine="0" w:firstLineChars="0"/>
              <w:jc w:val="center"/>
            </w:pPr>
            <w:r>
              <w:rPr>
                <w:rFonts w:hint="eastAsia"/>
              </w:rPr>
              <w:t>产生特征</w:t>
            </w:r>
          </w:p>
        </w:tc>
        <w:tc>
          <w:tcPr>
            <w:tcW w:w="2499" w:type="dxa"/>
            <w:vAlign w:val="center"/>
          </w:tcPr>
          <w:p>
            <w:pPr>
              <w:ind w:firstLine="0" w:firstLineChars="0"/>
              <w:jc w:val="center"/>
            </w:pPr>
            <w:r>
              <w:rPr>
                <w:rFonts w:hint="eastAsia"/>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1" w:type="dxa"/>
            <w:vAlign w:val="center"/>
          </w:tcPr>
          <w:p>
            <w:pPr>
              <w:ind w:firstLine="0" w:firstLineChars="0"/>
              <w:jc w:val="center"/>
            </w:pPr>
            <w:r>
              <w:rPr>
                <w:rFonts w:hint="eastAsia"/>
              </w:rPr>
              <w:t>废气</w:t>
            </w:r>
          </w:p>
        </w:tc>
        <w:tc>
          <w:tcPr>
            <w:tcW w:w="1018" w:type="dxa"/>
            <w:vAlign w:val="center"/>
          </w:tcPr>
          <w:p>
            <w:pPr>
              <w:ind w:firstLine="0" w:firstLineChars="0"/>
              <w:jc w:val="center"/>
            </w:pPr>
            <w:r>
              <w:t>G</w:t>
            </w:r>
            <w:r>
              <w:rPr>
                <w:rFonts w:hint="eastAsia"/>
              </w:rPr>
              <w:t>1</w:t>
            </w:r>
          </w:p>
        </w:tc>
        <w:tc>
          <w:tcPr>
            <w:tcW w:w="2000" w:type="dxa"/>
            <w:vAlign w:val="center"/>
          </w:tcPr>
          <w:p>
            <w:pPr>
              <w:ind w:firstLine="0" w:firstLineChars="0"/>
              <w:jc w:val="center"/>
            </w:pPr>
            <w:r>
              <w:rPr>
                <w:rFonts w:hint="eastAsia"/>
              </w:rPr>
              <w:t>焊接</w:t>
            </w:r>
          </w:p>
        </w:tc>
        <w:tc>
          <w:tcPr>
            <w:tcW w:w="2034" w:type="dxa"/>
            <w:vAlign w:val="center"/>
          </w:tcPr>
          <w:p>
            <w:pPr>
              <w:ind w:firstLine="0" w:firstLineChars="0"/>
              <w:jc w:val="center"/>
            </w:pPr>
            <w:r>
              <w:rPr>
                <w:rFonts w:hint="eastAsia"/>
              </w:rPr>
              <w:t>颗粒物</w:t>
            </w:r>
          </w:p>
        </w:tc>
        <w:tc>
          <w:tcPr>
            <w:tcW w:w="1134" w:type="dxa"/>
            <w:vAlign w:val="center"/>
          </w:tcPr>
          <w:p>
            <w:pPr>
              <w:ind w:firstLine="0" w:firstLineChars="0"/>
              <w:jc w:val="center"/>
            </w:pPr>
            <w:r>
              <w:rPr>
                <w:rFonts w:hint="eastAsia"/>
              </w:rPr>
              <w:t>间歇</w:t>
            </w:r>
          </w:p>
        </w:tc>
        <w:tc>
          <w:tcPr>
            <w:tcW w:w="2499" w:type="dxa"/>
            <w:vAlign w:val="center"/>
          </w:tcPr>
          <w:p>
            <w:pPr>
              <w:ind w:firstLine="0" w:firstLineChars="0"/>
              <w:jc w:val="center"/>
            </w:pPr>
            <w:r>
              <w:rPr>
                <w:rFonts w:hint="eastAsia"/>
              </w:rPr>
              <w:t>油烟净化器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1" w:type="dxa"/>
            <w:vAlign w:val="center"/>
          </w:tcPr>
          <w:p>
            <w:pPr>
              <w:ind w:firstLine="0" w:firstLineChars="0"/>
              <w:jc w:val="center"/>
            </w:pPr>
            <w:r>
              <w:rPr>
                <w:rFonts w:hint="eastAsia"/>
              </w:rPr>
              <w:t>废水</w:t>
            </w:r>
          </w:p>
        </w:tc>
        <w:tc>
          <w:tcPr>
            <w:tcW w:w="1018" w:type="dxa"/>
            <w:vAlign w:val="center"/>
          </w:tcPr>
          <w:p>
            <w:pPr>
              <w:ind w:firstLine="0" w:firstLineChars="0"/>
              <w:jc w:val="center"/>
            </w:pPr>
            <w:r>
              <w:rPr>
                <w:rFonts w:hint="eastAsia"/>
              </w:rPr>
              <w:t>W</w:t>
            </w:r>
          </w:p>
        </w:tc>
        <w:tc>
          <w:tcPr>
            <w:tcW w:w="2000" w:type="dxa"/>
            <w:vAlign w:val="center"/>
          </w:tcPr>
          <w:p>
            <w:pPr>
              <w:ind w:firstLine="0" w:firstLineChars="0"/>
              <w:jc w:val="center"/>
            </w:pPr>
            <w:r>
              <w:rPr>
                <w:rFonts w:hint="eastAsia"/>
              </w:rPr>
              <w:t>生活用水</w:t>
            </w:r>
          </w:p>
        </w:tc>
        <w:tc>
          <w:tcPr>
            <w:tcW w:w="2034" w:type="dxa"/>
            <w:vAlign w:val="center"/>
          </w:tcPr>
          <w:p>
            <w:pPr>
              <w:ind w:firstLine="0" w:firstLineChars="0"/>
              <w:jc w:val="center"/>
            </w:pPr>
            <w:r>
              <w:rPr>
                <w:rFonts w:hint="eastAsia"/>
              </w:rPr>
              <w:t>--</w:t>
            </w:r>
          </w:p>
        </w:tc>
        <w:tc>
          <w:tcPr>
            <w:tcW w:w="1134" w:type="dxa"/>
            <w:vAlign w:val="center"/>
          </w:tcPr>
          <w:p>
            <w:pPr>
              <w:ind w:firstLine="0" w:firstLineChars="0"/>
              <w:jc w:val="center"/>
            </w:pPr>
            <w:r>
              <w:rPr>
                <w:rFonts w:hint="eastAsia"/>
              </w:rPr>
              <w:t>间歇</w:t>
            </w:r>
          </w:p>
        </w:tc>
        <w:tc>
          <w:tcPr>
            <w:tcW w:w="2499" w:type="dxa"/>
            <w:vAlign w:val="center"/>
          </w:tcPr>
          <w:p>
            <w:pPr>
              <w:ind w:firstLine="0" w:firstLineChars="0"/>
              <w:jc w:val="center"/>
            </w:pPr>
            <w:r>
              <w:rPr>
                <w:rFonts w:hint="eastAsia"/>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1" w:type="dxa"/>
            <w:vAlign w:val="center"/>
          </w:tcPr>
          <w:p>
            <w:pPr>
              <w:ind w:firstLine="0" w:firstLineChars="0"/>
              <w:jc w:val="center"/>
            </w:pPr>
            <w:r>
              <w:rPr>
                <w:rFonts w:hint="eastAsia"/>
              </w:rPr>
              <w:t>噪声</w:t>
            </w:r>
          </w:p>
        </w:tc>
        <w:tc>
          <w:tcPr>
            <w:tcW w:w="1018" w:type="dxa"/>
            <w:vAlign w:val="center"/>
          </w:tcPr>
          <w:p>
            <w:pPr>
              <w:ind w:firstLine="0" w:firstLineChars="0"/>
              <w:jc w:val="center"/>
            </w:pPr>
            <w:r>
              <w:t>N</w:t>
            </w:r>
          </w:p>
        </w:tc>
        <w:tc>
          <w:tcPr>
            <w:tcW w:w="2000" w:type="dxa"/>
            <w:vAlign w:val="center"/>
          </w:tcPr>
          <w:p>
            <w:pPr>
              <w:ind w:firstLine="0" w:firstLineChars="0"/>
              <w:jc w:val="center"/>
            </w:pPr>
            <w:r>
              <w:rPr>
                <w:rFonts w:hint="eastAsia"/>
              </w:rPr>
              <w:t>机器设备</w:t>
            </w:r>
          </w:p>
        </w:tc>
        <w:tc>
          <w:tcPr>
            <w:tcW w:w="2034" w:type="dxa"/>
            <w:vAlign w:val="center"/>
          </w:tcPr>
          <w:p>
            <w:pPr>
              <w:ind w:firstLine="0" w:firstLineChars="0"/>
              <w:jc w:val="center"/>
            </w:pPr>
            <w:r>
              <w:rPr>
                <w:rFonts w:hint="eastAsia"/>
              </w:rPr>
              <w:t>噪声</w:t>
            </w:r>
          </w:p>
        </w:tc>
        <w:tc>
          <w:tcPr>
            <w:tcW w:w="1134" w:type="dxa"/>
            <w:vAlign w:val="center"/>
          </w:tcPr>
          <w:p>
            <w:pPr>
              <w:ind w:firstLine="0" w:firstLineChars="0"/>
              <w:jc w:val="center"/>
            </w:pPr>
            <w:r>
              <w:rPr>
                <w:rFonts w:hint="eastAsia"/>
              </w:rPr>
              <w:t>连续</w:t>
            </w:r>
          </w:p>
        </w:tc>
        <w:tc>
          <w:tcPr>
            <w:tcW w:w="2499" w:type="dxa"/>
            <w:vAlign w:val="center"/>
          </w:tcPr>
          <w:p>
            <w:pPr>
              <w:ind w:firstLine="0" w:firstLineChars="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1" w:type="dxa"/>
            <w:vMerge w:val="restart"/>
            <w:vAlign w:val="center"/>
          </w:tcPr>
          <w:p>
            <w:pPr>
              <w:ind w:firstLine="0" w:firstLineChars="0"/>
              <w:jc w:val="center"/>
            </w:pPr>
            <w:r>
              <w:rPr>
                <w:rFonts w:hint="eastAsia"/>
              </w:rPr>
              <w:t>固废</w:t>
            </w:r>
          </w:p>
        </w:tc>
        <w:tc>
          <w:tcPr>
            <w:tcW w:w="1018" w:type="dxa"/>
            <w:vMerge w:val="restart"/>
            <w:vAlign w:val="center"/>
          </w:tcPr>
          <w:p>
            <w:pPr>
              <w:ind w:firstLine="0" w:firstLineChars="0"/>
              <w:jc w:val="center"/>
            </w:pPr>
            <w:r>
              <w:t>S</w:t>
            </w:r>
          </w:p>
        </w:tc>
        <w:tc>
          <w:tcPr>
            <w:tcW w:w="2000" w:type="dxa"/>
            <w:vAlign w:val="center"/>
          </w:tcPr>
          <w:p>
            <w:pPr>
              <w:ind w:firstLine="0" w:firstLineChars="0"/>
              <w:jc w:val="center"/>
            </w:pPr>
            <w:r>
              <w:rPr>
                <w:rFonts w:hint="eastAsia"/>
              </w:rPr>
              <w:t>生产</w:t>
            </w:r>
          </w:p>
        </w:tc>
        <w:tc>
          <w:tcPr>
            <w:tcW w:w="2034" w:type="dxa"/>
            <w:vAlign w:val="center"/>
          </w:tcPr>
          <w:p>
            <w:pPr>
              <w:ind w:firstLine="0" w:firstLineChars="0"/>
              <w:jc w:val="center"/>
            </w:pPr>
            <w:r>
              <w:rPr>
                <w:rFonts w:hint="eastAsia"/>
              </w:rPr>
              <w:t>边角料</w:t>
            </w:r>
          </w:p>
        </w:tc>
        <w:tc>
          <w:tcPr>
            <w:tcW w:w="1134" w:type="dxa"/>
            <w:vAlign w:val="center"/>
          </w:tcPr>
          <w:p>
            <w:pPr>
              <w:ind w:firstLine="0" w:firstLineChars="0"/>
              <w:jc w:val="center"/>
            </w:pPr>
            <w:r>
              <w:rPr>
                <w:rFonts w:hint="eastAsia"/>
              </w:rPr>
              <w:t>间歇</w:t>
            </w:r>
          </w:p>
        </w:tc>
        <w:tc>
          <w:tcPr>
            <w:tcW w:w="2499" w:type="dxa"/>
            <w:vAlign w:val="center"/>
          </w:tcPr>
          <w:p>
            <w:pPr>
              <w:ind w:firstLine="0" w:firstLineChars="0"/>
              <w:jc w:val="center"/>
            </w:pPr>
            <w:r>
              <w:rPr>
                <w:rFonts w:hint="eastAsia"/>
              </w:rPr>
              <w:t>收集外售，不外排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1" w:type="dxa"/>
            <w:vMerge w:val="continue"/>
            <w:vAlign w:val="center"/>
          </w:tcPr>
          <w:p>
            <w:pPr>
              <w:ind w:firstLine="0" w:firstLineChars="0"/>
              <w:jc w:val="center"/>
            </w:pPr>
          </w:p>
        </w:tc>
        <w:tc>
          <w:tcPr>
            <w:tcW w:w="1018" w:type="dxa"/>
            <w:vMerge w:val="continue"/>
            <w:vAlign w:val="center"/>
          </w:tcPr>
          <w:p>
            <w:pPr>
              <w:ind w:firstLine="0" w:firstLineChars="0"/>
              <w:jc w:val="center"/>
            </w:pPr>
          </w:p>
        </w:tc>
        <w:tc>
          <w:tcPr>
            <w:tcW w:w="2000" w:type="dxa"/>
            <w:vAlign w:val="center"/>
          </w:tcPr>
          <w:p>
            <w:pPr>
              <w:ind w:firstLine="0" w:firstLineChars="0"/>
              <w:jc w:val="center"/>
            </w:pPr>
            <w:r>
              <w:rPr>
                <w:rFonts w:hint="eastAsia"/>
              </w:rPr>
              <w:t>生活办公</w:t>
            </w:r>
          </w:p>
        </w:tc>
        <w:tc>
          <w:tcPr>
            <w:tcW w:w="2034" w:type="dxa"/>
            <w:vAlign w:val="center"/>
          </w:tcPr>
          <w:p>
            <w:pPr>
              <w:ind w:firstLine="0" w:firstLineChars="0"/>
              <w:jc w:val="center"/>
            </w:pPr>
            <w:r>
              <w:rPr>
                <w:rFonts w:hint="eastAsia"/>
              </w:rPr>
              <w:t>生活垃圾</w:t>
            </w:r>
          </w:p>
        </w:tc>
        <w:tc>
          <w:tcPr>
            <w:tcW w:w="1134" w:type="dxa"/>
            <w:vAlign w:val="center"/>
          </w:tcPr>
          <w:p>
            <w:pPr>
              <w:ind w:firstLine="0" w:firstLineChars="0"/>
              <w:jc w:val="center"/>
            </w:pPr>
            <w:r>
              <w:rPr>
                <w:rFonts w:hint="eastAsia"/>
              </w:rPr>
              <w:t>间歇</w:t>
            </w:r>
          </w:p>
        </w:tc>
        <w:tc>
          <w:tcPr>
            <w:tcW w:w="2499" w:type="dxa"/>
            <w:vAlign w:val="center"/>
          </w:tcPr>
          <w:p>
            <w:pPr>
              <w:ind w:firstLine="0" w:firstLineChars="0"/>
              <w:jc w:val="center"/>
            </w:pPr>
            <w:r>
              <w:rPr>
                <w:rFonts w:hint="eastAsia"/>
              </w:rPr>
              <w:t>不外排</w:t>
            </w:r>
          </w:p>
        </w:tc>
      </w:tr>
    </w:tbl>
    <w:p/>
    <w:p>
      <w:pPr>
        <w:pStyle w:val="2"/>
      </w:pPr>
      <w:bookmarkStart w:id="13" w:name="_Toc505550588"/>
      <w:bookmarkStart w:id="14" w:name="_Toc6714"/>
      <w:r>
        <w:rPr>
          <w:rFonts w:hint="eastAsia"/>
        </w:rPr>
        <w:t>四、</w:t>
      </w:r>
      <w:r>
        <w:t>建设项目</w:t>
      </w:r>
      <w:r>
        <w:rPr>
          <w:rFonts w:hint="eastAsia"/>
        </w:rPr>
        <w:t>环评批复及实际建成对比、</w:t>
      </w:r>
      <w:r>
        <w:t>环境保护“三同时”验收一览表</w:t>
      </w:r>
      <w:bookmarkEnd w:id="13"/>
    </w:p>
    <w:p>
      <w:r>
        <w:rPr>
          <w:rFonts w:hint="eastAsia"/>
        </w:rPr>
        <w:t>表1 项目环评批复及实际建成对比</w:t>
      </w:r>
    </w:p>
    <w:tbl>
      <w:tblPr>
        <w:tblStyle w:val="2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vAlign w:val="center"/>
          </w:tcPr>
          <w:p>
            <w:pPr>
              <w:ind w:firstLine="0" w:firstLineChars="0"/>
            </w:pPr>
            <w:r>
              <w:rPr>
                <w:rFonts w:hint="eastAsia"/>
              </w:rPr>
              <w:t>环评及批复要求</w:t>
            </w:r>
          </w:p>
        </w:tc>
        <w:tc>
          <w:tcPr>
            <w:tcW w:w="4261" w:type="dxa"/>
            <w:vAlign w:val="center"/>
          </w:tcPr>
          <w:p>
            <w:pPr>
              <w:ind w:firstLine="0" w:firstLineChars="0"/>
            </w:pPr>
            <w:r>
              <w:rPr>
                <w:rFonts w:hint="eastAsia"/>
              </w:rPr>
              <w:t>实际建成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vAlign w:val="center"/>
          </w:tcPr>
          <w:p>
            <w:pPr>
              <w:ind w:firstLine="0" w:firstLineChars="0"/>
            </w:pPr>
            <w:r>
              <w:rPr>
                <w:rFonts w:hint="eastAsia"/>
              </w:rPr>
              <w:t>废水，本项目废水主要为生活污水，经厂区内污水处理系统处理后用于泼洒抑尘，不外排。</w:t>
            </w:r>
          </w:p>
        </w:tc>
        <w:tc>
          <w:tcPr>
            <w:tcW w:w="4261" w:type="dxa"/>
            <w:vAlign w:val="center"/>
          </w:tcPr>
          <w:p>
            <w:pPr>
              <w:ind w:firstLine="0" w:firstLineChars="0"/>
              <w:rPr>
                <w:rFonts w:hAnsi="宋体"/>
              </w:rPr>
            </w:pPr>
            <w:r>
              <w:rPr>
                <w:rFonts w:hint="eastAsia"/>
              </w:rPr>
              <w:t>沧州鑫拓煤矿机械有限公司废水不外排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jc w:val="center"/>
        </w:trPr>
        <w:tc>
          <w:tcPr>
            <w:tcW w:w="4261" w:type="dxa"/>
            <w:vAlign w:val="center"/>
          </w:tcPr>
          <w:p>
            <w:pPr>
              <w:ind w:firstLine="0" w:firstLineChars="0"/>
            </w:pPr>
            <w:r>
              <w:rPr>
                <w:rFonts w:hint="eastAsia"/>
              </w:rPr>
              <w:t>废气，该项目焊接废气满足《大气污染物综合排放标准》（GB16297-1996）表2无组织颗粒物排放限值。</w:t>
            </w:r>
          </w:p>
        </w:tc>
        <w:tc>
          <w:tcPr>
            <w:tcW w:w="4261" w:type="dxa"/>
            <w:vAlign w:val="center"/>
          </w:tcPr>
          <w:p>
            <w:pPr>
              <w:ind w:firstLine="0" w:firstLineChars="0"/>
            </w:pPr>
            <w:r>
              <w:rPr>
                <w:rFonts w:hint="eastAsia"/>
              </w:rPr>
              <w:t>废气可达标排放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vAlign w:val="center"/>
          </w:tcPr>
          <w:p>
            <w:pPr>
              <w:ind w:firstLine="0" w:firstLineChars="0"/>
            </w:pPr>
            <w:r>
              <w:rPr>
                <w:rFonts w:hint="eastAsia"/>
              </w:rPr>
              <w:t>噪声满足《工业企业厂界环境噪声排放标准》(GB12348-2008)2类标准要求。</w:t>
            </w:r>
          </w:p>
        </w:tc>
        <w:tc>
          <w:tcPr>
            <w:tcW w:w="4261" w:type="dxa"/>
            <w:vAlign w:val="center"/>
          </w:tcPr>
          <w:p>
            <w:pPr>
              <w:ind w:firstLine="0" w:firstLineChars="0"/>
              <w:rPr>
                <w:rFonts w:hAnsi="宋体"/>
              </w:rPr>
            </w:pPr>
            <w:r>
              <w:rPr>
                <w:rFonts w:hint="eastAsia"/>
              </w:rPr>
              <w:t>选用低噪声设备，在厂房内合理布设并做基础减振，经建筑隔声及距离衰减后，厂界噪声可达标排放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vAlign w:val="center"/>
          </w:tcPr>
          <w:p>
            <w:pPr>
              <w:ind w:firstLine="0" w:firstLineChars="0"/>
            </w:pPr>
            <w:r>
              <w:rPr>
                <w:rFonts w:hint="eastAsia"/>
              </w:rPr>
              <w:t>固废，下脚料和废金属屑收集后外售；焊渣和生活垃圾环卫部门收集后外售；废抹布、废切削液和废机油集中收集暂存，交由资质单位处理。</w:t>
            </w:r>
          </w:p>
        </w:tc>
        <w:tc>
          <w:tcPr>
            <w:tcW w:w="4261" w:type="dxa"/>
            <w:vAlign w:val="center"/>
          </w:tcPr>
          <w:p>
            <w:pPr>
              <w:ind w:firstLine="0" w:firstLineChars="0"/>
            </w:pPr>
            <w:r>
              <w:rPr>
                <w:rFonts w:hint="eastAsia"/>
              </w:rPr>
              <w:t>合理处置，不外排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vAlign w:val="center"/>
          </w:tcPr>
          <w:p>
            <w:pPr>
              <w:ind w:firstLine="0" w:firstLineChars="0"/>
            </w:pPr>
            <w:r>
              <w:rPr>
                <w:rFonts w:hint="eastAsia"/>
              </w:rPr>
              <w:t>原厂区不设食堂。</w:t>
            </w:r>
          </w:p>
        </w:tc>
        <w:tc>
          <w:tcPr>
            <w:tcW w:w="4261" w:type="dxa"/>
            <w:vAlign w:val="center"/>
          </w:tcPr>
          <w:p>
            <w:pPr>
              <w:ind w:firstLine="0" w:firstLineChars="0"/>
            </w:pPr>
            <w:r>
              <w:rPr>
                <w:rFonts w:hint="eastAsia"/>
              </w:rPr>
              <w:t>未设食堂</w:t>
            </w:r>
          </w:p>
        </w:tc>
      </w:tr>
    </w:tbl>
    <w:p>
      <w:pPr>
        <w:rPr>
          <w:rFonts w:hint="eastAsia"/>
        </w:rPr>
      </w:pPr>
    </w:p>
    <w:p>
      <w:pPr>
        <w:rPr>
          <w:rFonts w:hint="eastAsia"/>
        </w:rPr>
      </w:pPr>
    </w:p>
    <w:p/>
    <w:p>
      <w:r>
        <w:rPr>
          <w:rFonts w:hint="eastAsia"/>
        </w:rPr>
        <w:t xml:space="preserve">表2 </w:t>
      </w:r>
      <w:r>
        <w:t>项目环境保护“三同时”验收一览表</w:t>
      </w:r>
    </w:p>
    <w:tbl>
      <w:tblPr>
        <w:tblStyle w:val="27"/>
        <w:tblW w:w="95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212"/>
        <w:gridCol w:w="1450"/>
        <w:gridCol w:w="2000"/>
        <w:gridCol w:w="2744"/>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711" w:type="dxa"/>
            <w:gridSpan w:val="2"/>
            <w:vAlign w:val="center"/>
          </w:tcPr>
          <w:p>
            <w:pPr>
              <w:ind w:firstLine="0" w:firstLineChars="0"/>
            </w:pPr>
            <w:bookmarkStart w:id="15" w:name="_Toc13508"/>
            <w:r>
              <w:rPr>
                <w:rFonts w:hint="eastAsia"/>
              </w:rPr>
              <w:t>污染源</w:t>
            </w:r>
          </w:p>
        </w:tc>
        <w:tc>
          <w:tcPr>
            <w:tcW w:w="1450" w:type="dxa"/>
            <w:vAlign w:val="center"/>
          </w:tcPr>
          <w:p>
            <w:pPr>
              <w:ind w:firstLine="0" w:firstLineChars="0"/>
            </w:pPr>
            <w:r>
              <w:rPr>
                <w:rFonts w:hint="eastAsia"/>
              </w:rPr>
              <w:t>主要环保</w:t>
            </w:r>
          </w:p>
          <w:p>
            <w:pPr>
              <w:ind w:firstLine="0" w:firstLineChars="0"/>
            </w:pPr>
            <w:r>
              <w:rPr>
                <w:rFonts w:hint="eastAsia"/>
              </w:rPr>
              <w:t>设施/措施</w:t>
            </w:r>
          </w:p>
        </w:tc>
        <w:tc>
          <w:tcPr>
            <w:tcW w:w="2000" w:type="dxa"/>
            <w:vAlign w:val="center"/>
          </w:tcPr>
          <w:p>
            <w:pPr>
              <w:ind w:firstLine="0" w:firstLineChars="0"/>
            </w:pPr>
            <w:r>
              <w:rPr>
                <w:rFonts w:hint="eastAsia"/>
              </w:rPr>
              <w:t>处理效果</w:t>
            </w:r>
          </w:p>
        </w:tc>
        <w:tc>
          <w:tcPr>
            <w:tcW w:w="2744" w:type="dxa"/>
            <w:vAlign w:val="center"/>
          </w:tcPr>
          <w:p>
            <w:pPr>
              <w:ind w:firstLine="0" w:firstLineChars="0"/>
            </w:pPr>
            <w:r>
              <w:rPr>
                <w:rFonts w:hint="eastAsia"/>
              </w:rPr>
              <w:t>验收标准</w:t>
            </w:r>
          </w:p>
        </w:tc>
        <w:tc>
          <w:tcPr>
            <w:tcW w:w="1619" w:type="dxa"/>
            <w:vAlign w:val="center"/>
          </w:tcPr>
          <w:p>
            <w:pPr>
              <w:ind w:firstLine="0" w:firstLineChars="0"/>
            </w:pPr>
            <w:r>
              <w:rPr>
                <w:rFonts w:hint="eastAsia"/>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499" w:type="dxa"/>
            <w:vAlign w:val="center"/>
          </w:tcPr>
          <w:p>
            <w:pPr>
              <w:ind w:firstLine="0" w:firstLineChars="0"/>
            </w:pPr>
            <w:r>
              <w:rPr>
                <w:rFonts w:hint="eastAsia"/>
              </w:rPr>
              <w:t>废气</w:t>
            </w:r>
          </w:p>
        </w:tc>
        <w:tc>
          <w:tcPr>
            <w:tcW w:w="1212" w:type="dxa"/>
            <w:vAlign w:val="center"/>
          </w:tcPr>
          <w:p>
            <w:pPr>
              <w:spacing w:line="400" w:lineRule="exact"/>
              <w:ind w:firstLine="0" w:firstLineChars="0"/>
              <w:rPr>
                <w:rFonts w:asciiTheme="majorEastAsia" w:hAnsiTheme="majorEastAsia" w:eastAsiaTheme="majorEastAsia" w:cstheme="majorEastAsia"/>
                <w:spacing w:val="-20"/>
              </w:rPr>
            </w:pPr>
            <w:r>
              <w:rPr>
                <w:rFonts w:hint="eastAsia"/>
                <w:kern w:val="0"/>
              </w:rPr>
              <w:t>焊接工序</w:t>
            </w:r>
          </w:p>
        </w:tc>
        <w:tc>
          <w:tcPr>
            <w:tcW w:w="1450" w:type="dxa"/>
            <w:vAlign w:val="center"/>
          </w:tcPr>
          <w:p>
            <w:pPr>
              <w:spacing w:line="400" w:lineRule="exact"/>
              <w:ind w:firstLine="0" w:firstLineChars="0"/>
              <w:rPr>
                <w:rFonts w:asciiTheme="majorEastAsia" w:hAnsiTheme="majorEastAsia" w:eastAsiaTheme="majorEastAsia" w:cstheme="majorEastAsia"/>
              </w:rPr>
            </w:pPr>
            <w:r>
              <w:rPr>
                <w:rFonts w:hint="eastAsia"/>
                <w:kern w:val="0"/>
              </w:rPr>
              <w:t>移动式焊烟净化器</w:t>
            </w:r>
          </w:p>
        </w:tc>
        <w:tc>
          <w:tcPr>
            <w:tcW w:w="2000" w:type="dxa"/>
            <w:vAlign w:val="center"/>
          </w:tcPr>
          <w:p>
            <w:pPr>
              <w:spacing w:line="400" w:lineRule="exact"/>
              <w:ind w:firstLine="0" w:firstLineChars="0"/>
              <w:rPr>
                <w:rFonts w:asciiTheme="majorEastAsia" w:hAnsiTheme="majorEastAsia" w:eastAsiaTheme="majorEastAsia" w:cstheme="majorEastAsia"/>
                <w:bCs/>
                <w:spacing w:val="-10"/>
                <w:vertAlign w:val="superscript"/>
              </w:rPr>
            </w:pPr>
            <w:r>
              <w:t>颗粒物≤</w:t>
            </w:r>
            <w:r>
              <w:rPr>
                <w:rFonts w:hint="eastAsia"/>
              </w:rPr>
              <w:t>1.0</w:t>
            </w:r>
            <w:r>
              <w:t>mg/m</w:t>
            </w:r>
            <w:r>
              <w:rPr>
                <w:vertAlign w:val="superscript"/>
              </w:rPr>
              <w:t>3</w:t>
            </w:r>
          </w:p>
        </w:tc>
        <w:tc>
          <w:tcPr>
            <w:tcW w:w="2744" w:type="dxa"/>
            <w:vAlign w:val="center"/>
          </w:tcPr>
          <w:p>
            <w:pPr>
              <w:spacing w:line="400" w:lineRule="exact"/>
              <w:ind w:firstLine="0" w:firstLineChars="0"/>
              <w:rPr>
                <w:rFonts w:asciiTheme="majorEastAsia" w:hAnsiTheme="majorEastAsia" w:eastAsiaTheme="majorEastAsia" w:cstheme="majorEastAsia"/>
              </w:rPr>
            </w:pPr>
            <w:r>
              <w:t>《大气污染物综合排放标准》（GB16297-1996）表2中无组织排放监控浓度限值</w:t>
            </w:r>
          </w:p>
        </w:tc>
        <w:tc>
          <w:tcPr>
            <w:tcW w:w="1619" w:type="dxa"/>
            <w:vAlign w:val="center"/>
          </w:tcPr>
          <w:p>
            <w:pPr>
              <w:spacing w:line="400" w:lineRule="exact"/>
              <w:ind w:firstLine="0" w:firstLineChars="0"/>
            </w:pPr>
            <w:r>
              <w:rPr>
                <w:rFonts w:hint="eastAsia"/>
              </w:rPr>
              <w:t>废气可达标排放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499" w:type="dxa"/>
            <w:vAlign w:val="center"/>
          </w:tcPr>
          <w:p>
            <w:pPr>
              <w:ind w:firstLine="0" w:firstLineChars="0"/>
            </w:pPr>
            <w:r>
              <w:rPr>
                <w:rFonts w:hint="eastAsia"/>
              </w:rPr>
              <w:t>废水</w:t>
            </w:r>
          </w:p>
        </w:tc>
        <w:tc>
          <w:tcPr>
            <w:tcW w:w="1212" w:type="dxa"/>
            <w:vAlign w:val="center"/>
          </w:tcPr>
          <w:p>
            <w:pPr>
              <w:ind w:firstLine="0" w:firstLineChars="0"/>
            </w:pPr>
            <w:r>
              <w:rPr>
                <w:rFonts w:hint="eastAsia"/>
              </w:rPr>
              <w:t>生活污水</w:t>
            </w:r>
          </w:p>
        </w:tc>
        <w:tc>
          <w:tcPr>
            <w:tcW w:w="1450" w:type="dxa"/>
            <w:vAlign w:val="center"/>
          </w:tcPr>
          <w:p>
            <w:pPr>
              <w:ind w:firstLine="0" w:firstLineChars="0"/>
              <w:rPr>
                <w:rFonts w:asciiTheme="majorEastAsia" w:hAnsiTheme="majorEastAsia" w:eastAsiaTheme="majorEastAsia" w:cstheme="majorEastAsia"/>
              </w:rPr>
            </w:pPr>
            <w:r>
              <w:rPr>
                <w:rFonts w:hint="eastAsia"/>
                <w:kern w:val="0"/>
              </w:rPr>
              <w:t>防渗旱厕</w:t>
            </w:r>
          </w:p>
        </w:tc>
        <w:tc>
          <w:tcPr>
            <w:tcW w:w="2000" w:type="dxa"/>
            <w:vAlign w:val="center"/>
          </w:tcPr>
          <w:p>
            <w:pPr>
              <w:ind w:firstLine="0" w:firstLineChars="0"/>
            </w:pPr>
            <w:r>
              <w:rPr>
                <w:rFonts w:hint="eastAsia"/>
              </w:rPr>
              <w:t>不外排</w:t>
            </w:r>
          </w:p>
        </w:tc>
        <w:tc>
          <w:tcPr>
            <w:tcW w:w="2744" w:type="dxa"/>
            <w:vAlign w:val="center"/>
          </w:tcPr>
          <w:p>
            <w:pPr>
              <w:ind w:firstLine="0" w:firstLineChars="0"/>
            </w:pPr>
            <w:r>
              <w:rPr>
                <w:rFonts w:hint="eastAsia"/>
              </w:rPr>
              <w:t>--</w:t>
            </w:r>
          </w:p>
        </w:tc>
        <w:tc>
          <w:tcPr>
            <w:tcW w:w="1619" w:type="dxa"/>
            <w:vAlign w:val="center"/>
          </w:tcPr>
          <w:p>
            <w:pPr>
              <w:ind w:firstLine="0" w:firstLineChars="0"/>
            </w:pPr>
            <w:r>
              <w:rPr>
                <w:rFonts w:hint="eastAsia"/>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99" w:type="dxa"/>
            <w:vMerge w:val="restart"/>
            <w:vAlign w:val="center"/>
          </w:tcPr>
          <w:p>
            <w:pPr>
              <w:ind w:firstLine="0" w:firstLineChars="0"/>
            </w:pPr>
            <w:r>
              <w:rPr>
                <w:rFonts w:hint="eastAsia"/>
              </w:rPr>
              <w:t>固废</w:t>
            </w:r>
          </w:p>
        </w:tc>
        <w:tc>
          <w:tcPr>
            <w:tcW w:w="1212" w:type="dxa"/>
            <w:vAlign w:val="center"/>
          </w:tcPr>
          <w:p>
            <w:pPr>
              <w:ind w:firstLine="0" w:firstLineChars="0"/>
              <w:rPr>
                <w:rFonts w:asciiTheme="majorEastAsia" w:hAnsiTheme="majorEastAsia" w:eastAsiaTheme="majorEastAsia" w:cstheme="majorEastAsia"/>
              </w:rPr>
            </w:pPr>
            <w:r>
              <w:rPr>
                <w:rFonts w:hint="eastAsia"/>
              </w:rPr>
              <w:t>下脚料和废金属屑</w:t>
            </w:r>
          </w:p>
        </w:tc>
        <w:tc>
          <w:tcPr>
            <w:tcW w:w="1450" w:type="dxa"/>
            <w:vAlign w:val="center"/>
          </w:tcPr>
          <w:p>
            <w:pPr>
              <w:ind w:firstLine="0" w:firstLineChars="0"/>
              <w:rPr>
                <w:rFonts w:asciiTheme="majorEastAsia" w:hAnsiTheme="majorEastAsia" w:eastAsiaTheme="majorEastAsia" w:cstheme="majorEastAsia"/>
              </w:rPr>
            </w:pPr>
            <w:r>
              <w:rPr>
                <w:rFonts w:hint="eastAsia"/>
              </w:rPr>
              <w:t>外售</w:t>
            </w:r>
          </w:p>
        </w:tc>
        <w:tc>
          <w:tcPr>
            <w:tcW w:w="2000" w:type="dxa"/>
            <w:vMerge w:val="restart"/>
            <w:vAlign w:val="center"/>
          </w:tcPr>
          <w:p>
            <w:pPr>
              <w:ind w:firstLine="0" w:firstLineChars="0"/>
            </w:pPr>
            <w:r>
              <w:rPr>
                <w:rFonts w:hint="eastAsia"/>
              </w:rPr>
              <w:t>合理处置</w:t>
            </w:r>
          </w:p>
        </w:tc>
        <w:tc>
          <w:tcPr>
            <w:tcW w:w="2744" w:type="dxa"/>
            <w:vMerge w:val="restart"/>
            <w:vAlign w:val="center"/>
          </w:tcPr>
          <w:p>
            <w:pPr>
              <w:ind w:firstLine="0" w:firstLineChars="0"/>
            </w:pPr>
            <w:r>
              <w:rPr>
                <w:rFonts w:hint="eastAsia"/>
              </w:rPr>
              <w:t>不外排</w:t>
            </w:r>
          </w:p>
        </w:tc>
        <w:tc>
          <w:tcPr>
            <w:tcW w:w="1619" w:type="dxa"/>
            <w:vMerge w:val="restart"/>
            <w:vAlign w:val="center"/>
          </w:tcPr>
          <w:p>
            <w:pPr>
              <w:ind w:firstLine="0" w:firstLineChars="0"/>
            </w:pPr>
            <w:r>
              <w:rPr>
                <w:rFonts w:hint="eastAsia"/>
              </w:rPr>
              <w:t>合理处置，不外排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499" w:type="dxa"/>
            <w:vMerge w:val="continue"/>
            <w:vAlign w:val="center"/>
          </w:tcPr>
          <w:p>
            <w:pPr>
              <w:ind w:firstLine="0" w:firstLineChars="0"/>
            </w:pPr>
          </w:p>
        </w:tc>
        <w:tc>
          <w:tcPr>
            <w:tcW w:w="1212" w:type="dxa"/>
            <w:vAlign w:val="center"/>
          </w:tcPr>
          <w:p>
            <w:pPr>
              <w:ind w:firstLine="0" w:firstLineChars="0"/>
              <w:rPr>
                <w:rFonts w:asciiTheme="majorEastAsia" w:hAnsiTheme="majorEastAsia" w:eastAsiaTheme="majorEastAsia" w:cstheme="majorEastAsia"/>
                <w:szCs w:val="21"/>
              </w:rPr>
            </w:pPr>
            <w:r>
              <w:rPr>
                <w:rFonts w:hint="eastAsia"/>
                <w:lang w:val="zh-CN"/>
              </w:rPr>
              <w:t>焊接渣</w:t>
            </w:r>
          </w:p>
        </w:tc>
        <w:tc>
          <w:tcPr>
            <w:tcW w:w="1450" w:type="dxa"/>
            <w:vMerge w:val="restart"/>
            <w:vAlign w:val="center"/>
          </w:tcPr>
          <w:p>
            <w:pPr>
              <w:ind w:firstLine="0" w:firstLineChars="0"/>
              <w:rPr>
                <w:rFonts w:asciiTheme="majorEastAsia" w:hAnsiTheme="majorEastAsia" w:eastAsiaTheme="majorEastAsia" w:cstheme="majorEastAsia"/>
              </w:rPr>
            </w:pPr>
            <w:r>
              <w:rPr>
                <w:rFonts w:hint="eastAsia"/>
              </w:rPr>
              <w:t>收集后由环卫部门统一处理</w:t>
            </w:r>
          </w:p>
        </w:tc>
        <w:tc>
          <w:tcPr>
            <w:tcW w:w="2000" w:type="dxa"/>
            <w:vMerge w:val="continue"/>
            <w:vAlign w:val="center"/>
          </w:tcPr>
          <w:p>
            <w:pPr>
              <w:ind w:firstLine="0" w:firstLineChars="0"/>
            </w:pPr>
          </w:p>
        </w:tc>
        <w:tc>
          <w:tcPr>
            <w:tcW w:w="2744" w:type="dxa"/>
            <w:vMerge w:val="continue"/>
            <w:vAlign w:val="center"/>
          </w:tcPr>
          <w:p>
            <w:pPr>
              <w:ind w:firstLine="0" w:firstLineChars="0"/>
            </w:pPr>
          </w:p>
        </w:tc>
        <w:tc>
          <w:tcPr>
            <w:tcW w:w="1619"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499" w:type="dxa"/>
            <w:vMerge w:val="continue"/>
            <w:vAlign w:val="center"/>
          </w:tcPr>
          <w:p>
            <w:pPr>
              <w:ind w:firstLine="0" w:firstLineChars="0"/>
            </w:pPr>
          </w:p>
        </w:tc>
        <w:tc>
          <w:tcPr>
            <w:tcW w:w="1212" w:type="dxa"/>
            <w:vAlign w:val="center"/>
          </w:tcPr>
          <w:p>
            <w:pPr>
              <w:ind w:firstLine="0" w:firstLineChars="0"/>
              <w:rPr>
                <w:rFonts w:asciiTheme="majorEastAsia" w:hAnsiTheme="majorEastAsia" w:eastAsiaTheme="majorEastAsia" w:cstheme="majorEastAsia"/>
              </w:rPr>
            </w:pPr>
            <w:r>
              <w:t>生活垃圾</w:t>
            </w:r>
          </w:p>
        </w:tc>
        <w:tc>
          <w:tcPr>
            <w:tcW w:w="1450" w:type="dxa"/>
            <w:vMerge w:val="continue"/>
            <w:vAlign w:val="center"/>
          </w:tcPr>
          <w:p>
            <w:pPr>
              <w:pStyle w:val="21"/>
              <w:ind w:firstLine="0" w:firstLineChars="0"/>
            </w:pPr>
          </w:p>
        </w:tc>
        <w:tc>
          <w:tcPr>
            <w:tcW w:w="2000" w:type="dxa"/>
            <w:vMerge w:val="continue"/>
            <w:vAlign w:val="center"/>
          </w:tcPr>
          <w:p>
            <w:pPr>
              <w:ind w:firstLine="0" w:firstLineChars="0"/>
            </w:pPr>
          </w:p>
        </w:tc>
        <w:tc>
          <w:tcPr>
            <w:tcW w:w="2744" w:type="dxa"/>
            <w:vMerge w:val="continue"/>
            <w:vAlign w:val="center"/>
          </w:tcPr>
          <w:p>
            <w:pPr>
              <w:ind w:firstLine="0" w:firstLineChars="0"/>
            </w:pPr>
          </w:p>
        </w:tc>
        <w:tc>
          <w:tcPr>
            <w:tcW w:w="1619"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499" w:type="dxa"/>
            <w:vMerge w:val="continue"/>
            <w:vAlign w:val="center"/>
          </w:tcPr>
          <w:p>
            <w:pPr>
              <w:ind w:firstLine="0" w:firstLineChars="0"/>
            </w:pPr>
          </w:p>
        </w:tc>
        <w:tc>
          <w:tcPr>
            <w:tcW w:w="1212" w:type="dxa"/>
            <w:vAlign w:val="center"/>
          </w:tcPr>
          <w:p>
            <w:pPr>
              <w:ind w:firstLine="0" w:firstLineChars="0"/>
              <w:rPr>
                <w:rFonts w:asciiTheme="majorEastAsia" w:hAnsiTheme="majorEastAsia" w:eastAsiaTheme="majorEastAsia" w:cstheme="majorEastAsia"/>
              </w:rPr>
            </w:pPr>
            <w:r>
              <w:rPr>
                <w:rFonts w:hint="eastAsia"/>
              </w:rPr>
              <w:t>废抹布</w:t>
            </w:r>
          </w:p>
        </w:tc>
        <w:tc>
          <w:tcPr>
            <w:tcW w:w="1450" w:type="dxa"/>
            <w:vMerge w:val="restart"/>
            <w:vAlign w:val="center"/>
          </w:tcPr>
          <w:p>
            <w:pPr>
              <w:ind w:firstLine="0" w:firstLineChars="0"/>
              <w:rPr>
                <w:rFonts w:asciiTheme="majorEastAsia" w:hAnsiTheme="majorEastAsia" w:eastAsiaTheme="majorEastAsia" w:cstheme="majorEastAsia"/>
              </w:rPr>
            </w:pPr>
            <w:r>
              <w:t>集中收集暂存，由有资质单位回收处理</w:t>
            </w:r>
          </w:p>
        </w:tc>
        <w:tc>
          <w:tcPr>
            <w:tcW w:w="2000" w:type="dxa"/>
            <w:vMerge w:val="continue"/>
            <w:vAlign w:val="center"/>
          </w:tcPr>
          <w:p>
            <w:pPr>
              <w:ind w:firstLine="0" w:firstLineChars="0"/>
            </w:pPr>
          </w:p>
        </w:tc>
        <w:tc>
          <w:tcPr>
            <w:tcW w:w="2744" w:type="dxa"/>
            <w:vMerge w:val="continue"/>
            <w:vAlign w:val="center"/>
          </w:tcPr>
          <w:p>
            <w:pPr>
              <w:ind w:firstLine="0" w:firstLineChars="0"/>
            </w:pPr>
          </w:p>
        </w:tc>
        <w:tc>
          <w:tcPr>
            <w:tcW w:w="1619"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499" w:type="dxa"/>
            <w:vMerge w:val="continue"/>
            <w:vAlign w:val="center"/>
          </w:tcPr>
          <w:p>
            <w:pPr>
              <w:ind w:firstLine="0" w:firstLineChars="0"/>
            </w:pPr>
          </w:p>
        </w:tc>
        <w:tc>
          <w:tcPr>
            <w:tcW w:w="1212" w:type="dxa"/>
            <w:vAlign w:val="center"/>
          </w:tcPr>
          <w:p>
            <w:pPr>
              <w:ind w:firstLine="0" w:firstLineChars="0"/>
              <w:rPr>
                <w:rFonts w:asciiTheme="majorEastAsia" w:hAnsiTheme="majorEastAsia" w:eastAsiaTheme="majorEastAsia" w:cstheme="majorEastAsia"/>
              </w:rPr>
            </w:pPr>
            <w:r>
              <w:rPr>
                <w:rFonts w:hint="eastAsia"/>
              </w:rPr>
              <w:t>废切削液</w:t>
            </w:r>
          </w:p>
        </w:tc>
        <w:tc>
          <w:tcPr>
            <w:tcW w:w="1450" w:type="dxa"/>
            <w:vMerge w:val="continue"/>
            <w:vAlign w:val="center"/>
          </w:tcPr>
          <w:p>
            <w:pPr>
              <w:pStyle w:val="21"/>
              <w:ind w:firstLine="0" w:firstLineChars="0"/>
            </w:pPr>
          </w:p>
        </w:tc>
        <w:tc>
          <w:tcPr>
            <w:tcW w:w="2000" w:type="dxa"/>
            <w:vMerge w:val="continue"/>
            <w:vAlign w:val="center"/>
          </w:tcPr>
          <w:p>
            <w:pPr>
              <w:ind w:firstLine="0" w:firstLineChars="0"/>
            </w:pPr>
          </w:p>
        </w:tc>
        <w:tc>
          <w:tcPr>
            <w:tcW w:w="2744" w:type="dxa"/>
            <w:vMerge w:val="continue"/>
            <w:vAlign w:val="center"/>
          </w:tcPr>
          <w:p>
            <w:pPr>
              <w:ind w:firstLine="0" w:firstLineChars="0"/>
            </w:pPr>
          </w:p>
        </w:tc>
        <w:tc>
          <w:tcPr>
            <w:tcW w:w="1619"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499" w:type="dxa"/>
            <w:vMerge w:val="continue"/>
            <w:vAlign w:val="center"/>
          </w:tcPr>
          <w:p>
            <w:pPr>
              <w:ind w:firstLine="0" w:firstLineChars="0"/>
            </w:pPr>
          </w:p>
        </w:tc>
        <w:tc>
          <w:tcPr>
            <w:tcW w:w="1212" w:type="dxa"/>
            <w:vAlign w:val="center"/>
          </w:tcPr>
          <w:p>
            <w:pPr>
              <w:ind w:firstLine="0" w:firstLineChars="0"/>
              <w:rPr>
                <w:rFonts w:asciiTheme="majorEastAsia" w:hAnsiTheme="majorEastAsia" w:eastAsiaTheme="majorEastAsia" w:cstheme="majorEastAsia"/>
              </w:rPr>
            </w:pPr>
            <w:r>
              <w:rPr>
                <w:rFonts w:hint="eastAsia"/>
              </w:rPr>
              <w:t>废机油</w:t>
            </w:r>
          </w:p>
        </w:tc>
        <w:tc>
          <w:tcPr>
            <w:tcW w:w="1450" w:type="dxa"/>
            <w:vMerge w:val="continue"/>
            <w:vAlign w:val="center"/>
          </w:tcPr>
          <w:p>
            <w:pPr>
              <w:pStyle w:val="21"/>
              <w:ind w:firstLine="0" w:firstLineChars="0"/>
            </w:pPr>
          </w:p>
        </w:tc>
        <w:tc>
          <w:tcPr>
            <w:tcW w:w="2000" w:type="dxa"/>
            <w:vMerge w:val="continue"/>
            <w:vAlign w:val="center"/>
          </w:tcPr>
          <w:p>
            <w:pPr>
              <w:ind w:firstLine="0" w:firstLineChars="0"/>
            </w:pPr>
          </w:p>
        </w:tc>
        <w:tc>
          <w:tcPr>
            <w:tcW w:w="2744" w:type="dxa"/>
            <w:vMerge w:val="continue"/>
            <w:vAlign w:val="center"/>
          </w:tcPr>
          <w:p>
            <w:pPr>
              <w:ind w:firstLine="0" w:firstLineChars="0"/>
            </w:pPr>
          </w:p>
        </w:tc>
        <w:tc>
          <w:tcPr>
            <w:tcW w:w="1619"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jc w:val="center"/>
        </w:trPr>
        <w:tc>
          <w:tcPr>
            <w:tcW w:w="499" w:type="dxa"/>
            <w:vAlign w:val="center"/>
          </w:tcPr>
          <w:p>
            <w:pPr>
              <w:ind w:firstLine="0" w:firstLineChars="0"/>
            </w:pPr>
            <w:r>
              <w:rPr>
                <w:rFonts w:hint="eastAsia"/>
              </w:rPr>
              <w:t>噪声</w:t>
            </w:r>
          </w:p>
        </w:tc>
        <w:tc>
          <w:tcPr>
            <w:tcW w:w="1212" w:type="dxa"/>
            <w:vAlign w:val="center"/>
          </w:tcPr>
          <w:p>
            <w:pPr>
              <w:ind w:firstLine="0" w:firstLineChars="0"/>
            </w:pPr>
            <w:r>
              <w:rPr>
                <w:rFonts w:hint="eastAsia"/>
              </w:rPr>
              <w:t>生产设备</w:t>
            </w:r>
          </w:p>
        </w:tc>
        <w:tc>
          <w:tcPr>
            <w:tcW w:w="1450" w:type="dxa"/>
            <w:vAlign w:val="center"/>
          </w:tcPr>
          <w:p>
            <w:pPr>
              <w:pStyle w:val="50"/>
            </w:pPr>
            <w:r>
              <w:rPr>
                <w:rFonts w:hint="eastAsia"/>
              </w:rPr>
              <w:t>选用低噪设备，采取基础减振、厂房隔声等降噪措施施</w:t>
            </w:r>
          </w:p>
        </w:tc>
        <w:tc>
          <w:tcPr>
            <w:tcW w:w="2000" w:type="dxa"/>
            <w:vAlign w:val="center"/>
          </w:tcPr>
          <w:p>
            <w:pPr>
              <w:pStyle w:val="50"/>
            </w:pPr>
            <w:r>
              <w:rPr>
                <w:rFonts w:hint="eastAsia"/>
              </w:rPr>
              <w:t>2类</w:t>
            </w:r>
          </w:p>
          <w:p>
            <w:pPr>
              <w:pStyle w:val="50"/>
            </w:pPr>
            <w:r>
              <w:rPr>
                <w:rFonts w:hint="eastAsia"/>
              </w:rPr>
              <w:t>昼间≤60dB(A)</w:t>
            </w:r>
          </w:p>
          <w:p>
            <w:pPr>
              <w:pStyle w:val="50"/>
            </w:pPr>
            <w:r>
              <w:rPr>
                <w:rFonts w:hint="eastAsia"/>
              </w:rPr>
              <w:t>夜间≤50dB(A)</w:t>
            </w:r>
          </w:p>
          <w:p>
            <w:pPr>
              <w:pStyle w:val="50"/>
            </w:pPr>
          </w:p>
        </w:tc>
        <w:tc>
          <w:tcPr>
            <w:tcW w:w="2744" w:type="dxa"/>
            <w:vAlign w:val="center"/>
          </w:tcPr>
          <w:p>
            <w:pPr>
              <w:pStyle w:val="50"/>
            </w:pPr>
            <w:r>
              <w:rPr>
                <w:rFonts w:hint="eastAsia"/>
              </w:rPr>
              <w:t>《工业企业厂界环境噪声排放标准》（GB12348-2008）2类标准</w:t>
            </w:r>
          </w:p>
        </w:tc>
        <w:tc>
          <w:tcPr>
            <w:tcW w:w="1619" w:type="dxa"/>
            <w:vAlign w:val="center"/>
          </w:tcPr>
          <w:p>
            <w:pPr>
              <w:ind w:firstLine="0" w:firstLineChars="0"/>
            </w:pPr>
            <w:r>
              <w:rPr>
                <w:rFonts w:hint="eastAsia"/>
              </w:rPr>
              <w:t>可达标</w:t>
            </w:r>
          </w:p>
        </w:tc>
      </w:tr>
    </w:tbl>
    <w:p>
      <w:pPr>
        <w:pStyle w:val="46"/>
        <w:ind w:firstLine="420"/>
      </w:pPr>
    </w:p>
    <w:p>
      <w:pPr>
        <w:pStyle w:val="2"/>
      </w:pPr>
      <w:bookmarkStart w:id="16" w:name="_Toc505550589"/>
      <w:r>
        <w:rPr>
          <w:rFonts w:hint="eastAsia"/>
        </w:rPr>
        <w:t>五、环评主要结论及审批部门审批决定</w:t>
      </w:r>
      <w:bookmarkEnd w:id="15"/>
      <w:bookmarkEnd w:id="16"/>
    </w:p>
    <w:p>
      <w:pPr>
        <w:pStyle w:val="3"/>
        <w:rPr>
          <w:highlight w:val="yellow"/>
        </w:rPr>
      </w:pPr>
      <w:bookmarkStart w:id="17" w:name="_Toc26862"/>
      <w:bookmarkStart w:id="18" w:name="_Toc505550590"/>
      <w:bookmarkStart w:id="19" w:name="_Toc7612"/>
      <w:r>
        <w:rPr>
          <w:rFonts w:hint="eastAsia"/>
        </w:rPr>
        <w:t>5</w:t>
      </w:r>
      <w:r>
        <w:t>.1</w:t>
      </w:r>
      <w:r>
        <w:rPr>
          <w:rFonts w:hint="eastAsia"/>
        </w:rPr>
        <w:t xml:space="preserve"> 环评主要结论</w:t>
      </w:r>
      <w:bookmarkEnd w:id="17"/>
      <w:bookmarkEnd w:id="18"/>
    </w:p>
    <w:p>
      <w:r>
        <w:t>项目符合国家产业政策，厂址选择可行，工程采取了较为完善的污染防治措施，可确保达标排放，项目的建设不会对周围环境产生明显的污染影响。在</w:t>
      </w:r>
      <w:r>
        <w:rPr>
          <w:spacing w:val="-2"/>
        </w:rPr>
        <w:t>全面加强监督管理，</w:t>
      </w:r>
      <w:r>
        <w:t>严格执行</w:t>
      </w:r>
      <w:r>
        <w:rPr>
          <w:rFonts w:hint="eastAsia"/>
        </w:rPr>
        <w:t>“</w:t>
      </w:r>
      <w:r>
        <w:t>三同时</w:t>
      </w:r>
      <w:r>
        <w:rPr>
          <w:rFonts w:hint="eastAsia"/>
        </w:rPr>
        <w:t>”</w:t>
      </w:r>
      <w:r>
        <w:t>前提下，从环保角度分析项目的建设可行。</w:t>
      </w:r>
    </w:p>
    <w:p>
      <w:pPr>
        <w:pStyle w:val="3"/>
      </w:pPr>
      <w:bookmarkStart w:id="20" w:name="_Toc9591"/>
      <w:bookmarkStart w:id="21" w:name="_Toc390266310"/>
      <w:bookmarkStart w:id="22" w:name="_Toc505550591"/>
      <w:r>
        <w:rPr>
          <w:rFonts w:hint="eastAsia"/>
        </w:rPr>
        <w:t>5.2环评批复主要内容</w:t>
      </w:r>
      <w:bookmarkEnd w:id="20"/>
      <w:bookmarkEnd w:id="21"/>
      <w:bookmarkEnd w:id="22"/>
    </w:p>
    <w:p>
      <w:r>
        <w:rPr>
          <w:rFonts w:hint="eastAsia"/>
        </w:rPr>
        <w:t>原东光县环保局于2010年8月5日对</w:t>
      </w:r>
      <w:r>
        <w:t>该项目环境影响报告表进行了审批</w:t>
      </w:r>
      <w:r>
        <w:rPr>
          <w:rFonts w:hint="eastAsia"/>
        </w:rPr>
        <w:t>（文号：东环表</w:t>
      </w:r>
      <w:r>
        <w:t>[201</w:t>
      </w:r>
      <w:r>
        <w:rPr>
          <w:rFonts w:hint="eastAsia"/>
        </w:rPr>
        <w:t>0</w:t>
      </w:r>
      <w:r>
        <w:t>]</w:t>
      </w:r>
      <w:r>
        <w:rPr>
          <w:rFonts w:hint="eastAsia"/>
        </w:rPr>
        <w:t>45</w:t>
      </w:r>
      <w:r>
        <w:t>号</w:t>
      </w:r>
      <w:r>
        <w:rPr>
          <w:rFonts w:hint="eastAsia"/>
        </w:rPr>
        <w:t>）</w:t>
      </w:r>
    </w:p>
    <w:p>
      <w:r>
        <w:rPr>
          <w:rFonts w:hint="eastAsia"/>
        </w:rPr>
        <w:t>批复主要内容：该项目在建设和运行管理过程中要切实落实报告表中提出的环保措施，优化污染治理方案。1、噪声：通过采取是室内布置，基础加装橡胶减震垫等降噪措施，经厂房隔声距离衰减后达标排放。噪声排放执行《工业企业厂界环境噪声排放标准》（GB12348-2008）中2类标准，其中公司西侧执行4类标准。2、废水：该项目点焊焊接和氩弧焊焊接产生的烟气均较少，无组织达标排放：食堂油烟经净化器处理后达标排放。4、固体废物：主要是整理过程中产生的废边角料、职工生活垃圾，废边角料出售给物资回收部门；生活垃圾由环卫部门清运填埋。</w:t>
      </w:r>
    </w:p>
    <w:p>
      <w:r>
        <w:rPr>
          <w:rFonts w:hint="eastAsia"/>
        </w:rPr>
        <w:t>沧州市</w:t>
      </w:r>
      <w:r>
        <w:t>环保局</w:t>
      </w:r>
      <w:r>
        <w:rPr>
          <w:rFonts w:hint="eastAsia"/>
        </w:rPr>
        <w:t>东光县分局于2017年12月15日</w:t>
      </w:r>
      <w:r>
        <w:t>对该项目环境影响</w:t>
      </w:r>
      <w:r>
        <w:rPr>
          <w:rFonts w:hint="eastAsia"/>
        </w:rPr>
        <w:t>补充</w:t>
      </w:r>
      <w:r>
        <w:t>报告表</w:t>
      </w:r>
      <w:r>
        <w:rPr>
          <w:rFonts w:hint="eastAsia"/>
        </w:rPr>
        <w:t>进行了</w:t>
      </w:r>
      <w:r>
        <w:t>审批（文号</w:t>
      </w:r>
      <w:r>
        <w:rPr>
          <w:rFonts w:hint="eastAsia"/>
        </w:rPr>
        <w:t>：东环表</w:t>
      </w:r>
      <w:r>
        <w:t>[201</w:t>
      </w:r>
      <w:r>
        <w:rPr>
          <w:rFonts w:hint="eastAsia"/>
        </w:rPr>
        <w:t>7</w:t>
      </w:r>
      <w:r>
        <w:t>]</w:t>
      </w:r>
      <w:r>
        <w:rPr>
          <w:rFonts w:hint="eastAsia"/>
        </w:rPr>
        <w:t>107）</w:t>
      </w:r>
    </w:p>
    <w:p>
      <w:r>
        <w:rPr>
          <w:rFonts w:hint="eastAsia"/>
        </w:rPr>
        <w:t>批复主要内容：</w:t>
      </w:r>
      <w:bookmarkEnd w:id="19"/>
    </w:p>
    <w:p>
      <w:r>
        <w:rPr>
          <w:rFonts w:hint="eastAsia"/>
        </w:rPr>
        <w:t>该项目变更内容为1、生产规模由年产刮板输送机13台（套），煤矿机械零部件3万件变更为年产4000吨煤矿机械结构件。2、该项目变更前无焊接环保措施变更后焊接工序增加了6台移动式焊烟净化器；变更前有剪板下料工序，变更后去掉机加工下料工序，机加工设备发生变化。焊接废气满足《大气污染物综合排放标准》（GB16297-1996）表2中无组织排放限值要求；噪声满足《工业企业厂界环境噪声排放标准》（GB12348-2008）2类标准；固体废物：下脚料和废金属屑收集后外售；焊渣和生活垃圾收集后由环卫部门统一处理；废抹布、废切削液和废机油集中收集暂存，交有资质单位回收处理。3、原厂区内设有食堂变更为不设食堂。经补充报告评价论证以上变更方案可行。</w:t>
      </w:r>
    </w:p>
    <w:p>
      <w:r>
        <w:rPr>
          <w:rFonts w:hint="eastAsia"/>
        </w:rPr>
        <w:t>原则同意沧州金拓煤矿机械有限公司年产4000吨煤矿机械结构件项目变更，你单位在接到本备案后10个工作日，须将环境影响补充报告表备案送我局监察大队，并按规定接受各级环境保护行政主管部门的监督检查。要严格落实好本补充报告中提出的各项环保措施。项目未变更内容仍按原环评报告要求落实。本补充报告与原环评报告和批复一并作为该项目验收的依据。</w:t>
      </w:r>
    </w:p>
    <w:p>
      <w:pPr>
        <w:pStyle w:val="2"/>
      </w:pPr>
      <w:bookmarkStart w:id="23" w:name="_Toc505550592"/>
      <w:r>
        <w:rPr>
          <w:rFonts w:hint="eastAsia"/>
        </w:rPr>
        <w:t>六、环境保护措施</w:t>
      </w:r>
      <w:bookmarkEnd w:id="14"/>
      <w:r>
        <w:rPr>
          <w:rFonts w:hint="eastAsia"/>
        </w:rPr>
        <w:t>落实情况</w:t>
      </w:r>
      <w:bookmarkEnd w:id="23"/>
    </w:p>
    <w:p>
      <w:pPr>
        <w:pStyle w:val="3"/>
      </w:pPr>
      <w:bookmarkStart w:id="24" w:name="_Toc505550593"/>
      <w:r>
        <w:rPr>
          <w:rFonts w:hint="eastAsia"/>
        </w:rPr>
        <w:t>6.1废气</w:t>
      </w:r>
      <w:bookmarkEnd w:id="24"/>
    </w:p>
    <w:p>
      <w:r>
        <w:rPr>
          <w:rFonts w:hint="eastAsia"/>
        </w:rPr>
        <w:t>本项目设6台移动式焊烟净化器，布置在焊接工位，利用焊烟除尘器自带的集气手臂，收集各焊接工位焊接烟气进入焊烟净化器净化后的废气在车间内排放，最终通过车间通风排放，项目厂界满足《大气污染物综合排放标准》（GB16297-1996）表2中无组织排放限值要求。</w:t>
      </w:r>
    </w:p>
    <w:p>
      <w:pPr>
        <w:pStyle w:val="3"/>
      </w:pPr>
      <w:bookmarkStart w:id="25" w:name="_Toc505550594"/>
      <w:r>
        <w:rPr>
          <w:rFonts w:hint="eastAsia"/>
        </w:rPr>
        <w:t>6.2废水</w:t>
      </w:r>
      <w:bookmarkEnd w:id="25"/>
    </w:p>
    <w:p>
      <w:r>
        <w:rPr>
          <w:rFonts w:hint="eastAsia"/>
        </w:rPr>
        <w:t>本项目废水主要为生活污水，经厂内污水处理系统处理后泼洒、抑尘，不排放。废水对环境影响很小。</w:t>
      </w:r>
    </w:p>
    <w:p>
      <w:pPr>
        <w:pStyle w:val="3"/>
      </w:pPr>
      <w:bookmarkStart w:id="26" w:name="_Toc505550595"/>
      <w:r>
        <w:rPr>
          <w:rFonts w:hint="eastAsia"/>
        </w:rPr>
        <w:t>6.3噪声</w:t>
      </w:r>
      <w:bookmarkEnd w:id="26"/>
    </w:p>
    <w:p>
      <w:r>
        <w:rPr>
          <w:rFonts w:hint="eastAsia"/>
        </w:rPr>
        <w:t>项目噪声主要为高主筋双面对头镗铣、摇臂钻床等设备产生的噪声。将所有机械噪声设备安置在车间内，且固定设备安装减振台座，通过车间隔声及减振等措施治理后昼间厂界噪声可达到《工业企业厂界环境噪声排放标准》(GB12348-2008)2类昼问噪声标准。夜间不生产。厂界夜间噪声可达标排放。因此，噪声对环境影响不大。</w:t>
      </w:r>
    </w:p>
    <w:p>
      <w:pPr>
        <w:pStyle w:val="3"/>
      </w:pPr>
      <w:bookmarkStart w:id="27" w:name="_Toc505550596"/>
      <w:r>
        <w:rPr>
          <w:rFonts w:hint="eastAsia"/>
        </w:rPr>
        <w:t>6.4固废</w:t>
      </w:r>
      <w:bookmarkEnd w:id="27"/>
    </w:p>
    <w:p>
      <w:bookmarkStart w:id="28" w:name="_Toc4377"/>
      <w:r>
        <w:rPr>
          <w:rFonts w:hint="eastAsia"/>
        </w:rPr>
        <w:t>本项目固废废铁屑、边角料略有增加，均为一般固废。</w:t>
      </w:r>
    </w:p>
    <w:p>
      <w:r>
        <w:rPr>
          <w:rFonts w:hint="eastAsia"/>
        </w:rPr>
        <w:t>废边角料出售给物资回收部门；生活垃圾由环卫部门清运填埋。</w:t>
      </w:r>
    </w:p>
    <w:p>
      <w:pPr>
        <w:pStyle w:val="2"/>
      </w:pPr>
      <w:bookmarkStart w:id="29" w:name="_Toc505550597"/>
      <w:r>
        <w:rPr>
          <w:rFonts w:hint="eastAsia"/>
        </w:rPr>
        <w:t>七</w:t>
      </w:r>
      <w:r>
        <w:t>、验收监测执行标准</w:t>
      </w:r>
      <w:bookmarkEnd w:id="28"/>
      <w:bookmarkEnd w:id="29"/>
    </w:p>
    <w:p>
      <w:pPr>
        <w:pStyle w:val="3"/>
      </w:pPr>
      <w:bookmarkStart w:id="30" w:name="_Toc32743"/>
      <w:bookmarkStart w:id="31" w:name="_Toc505550598"/>
      <w:r>
        <w:rPr>
          <w:rFonts w:hint="eastAsia"/>
        </w:rPr>
        <w:t>7</w:t>
      </w:r>
      <w:r>
        <w:t>.1 废气排放标准</w:t>
      </w:r>
      <w:bookmarkEnd w:id="30"/>
      <w:bookmarkEnd w:id="31"/>
    </w:p>
    <w:p>
      <w:r>
        <w:rPr>
          <w:rFonts w:hint="eastAsia"/>
        </w:rPr>
        <w:t>本项目设6台移动式焊烟净化器，布置在焊接工位，利用焊烟除尘器自带的集气手臂，收集各焊接工位焊接烟气进入焊烟净化器净化后的废气在车间内排放，最终通过车间通风排放，项目厂界满足《大气污染物综合排放标准》（GB16297-1996）表2中无组织排放限值要求。</w:t>
      </w:r>
    </w:p>
    <w:p>
      <w:r>
        <w:rPr>
          <w:rFonts w:hint="eastAsia"/>
        </w:rPr>
        <w:t>废气验收监测执行标准限制及依据见表7</w:t>
      </w:r>
      <w:r>
        <w:t>-1</w:t>
      </w:r>
      <w:r>
        <w:rPr>
          <w:rFonts w:hint="eastAsia"/>
        </w:rPr>
        <w:t>。</w:t>
      </w:r>
    </w:p>
    <w:p>
      <w:r>
        <w:rPr>
          <w:rFonts w:hint="eastAsia"/>
        </w:rPr>
        <w:t>表7</w:t>
      </w:r>
      <w:r>
        <w:t xml:space="preserve">-1 </w:t>
      </w:r>
      <w:r>
        <w:rPr>
          <w:rFonts w:hint="eastAsia"/>
        </w:rPr>
        <w:t>大气污染物排放标准限制</w:t>
      </w:r>
    </w:p>
    <w:tbl>
      <w:tblPr>
        <w:tblStyle w:val="27"/>
        <w:tblW w:w="8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1822"/>
        <w:gridCol w:w="2829"/>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986" w:type="dxa"/>
            <w:vAlign w:val="center"/>
          </w:tcPr>
          <w:p>
            <w:r>
              <w:rPr>
                <w:rFonts w:hint="eastAsia"/>
              </w:rPr>
              <w:t>序号</w:t>
            </w:r>
          </w:p>
        </w:tc>
        <w:tc>
          <w:tcPr>
            <w:tcW w:w="1822" w:type="dxa"/>
            <w:vAlign w:val="center"/>
          </w:tcPr>
          <w:p>
            <w:r>
              <w:rPr>
                <w:rFonts w:hint="eastAsia"/>
              </w:rPr>
              <w:t>污染物</w:t>
            </w:r>
          </w:p>
        </w:tc>
        <w:tc>
          <w:tcPr>
            <w:tcW w:w="2829" w:type="dxa"/>
            <w:vAlign w:val="center"/>
          </w:tcPr>
          <w:p>
            <w:r>
              <w:rPr>
                <w:rFonts w:hint="eastAsia"/>
              </w:rPr>
              <w:t>无组织排放监控浓度限值</w:t>
            </w:r>
          </w:p>
        </w:tc>
        <w:tc>
          <w:tcPr>
            <w:tcW w:w="2363" w:type="dxa"/>
            <w:vAlign w:val="center"/>
          </w:tcPr>
          <w:p>
            <w:r>
              <w:rPr>
                <w:rFonts w:hint="eastAsia"/>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986" w:type="dxa"/>
            <w:vAlign w:val="center"/>
          </w:tcPr>
          <w:p>
            <w:r>
              <w:rPr>
                <w:rFonts w:hint="eastAsia"/>
              </w:rPr>
              <w:t>1</w:t>
            </w:r>
          </w:p>
        </w:tc>
        <w:tc>
          <w:tcPr>
            <w:tcW w:w="1822" w:type="dxa"/>
            <w:vAlign w:val="center"/>
          </w:tcPr>
          <w:p>
            <w:r>
              <w:rPr>
                <w:rFonts w:hint="eastAsia"/>
              </w:rPr>
              <w:t>颗粒物</w:t>
            </w:r>
          </w:p>
        </w:tc>
        <w:tc>
          <w:tcPr>
            <w:tcW w:w="2829" w:type="dxa"/>
            <w:vAlign w:val="center"/>
          </w:tcPr>
          <w:p>
            <w:r>
              <w:rPr>
                <w:rFonts w:hint="eastAsia"/>
              </w:rPr>
              <w:t>1.0</w:t>
            </w:r>
          </w:p>
        </w:tc>
        <w:tc>
          <w:tcPr>
            <w:tcW w:w="2363" w:type="dxa"/>
            <w:vAlign w:val="center"/>
          </w:tcPr>
          <w:p>
            <w:r>
              <w:rPr>
                <w:rFonts w:hint="eastAsia"/>
              </w:rPr>
              <w:t>GB16297-1996</w:t>
            </w:r>
          </w:p>
        </w:tc>
      </w:tr>
    </w:tbl>
    <w:p/>
    <w:p>
      <w:pPr>
        <w:pStyle w:val="3"/>
      </w:pPr>
      <w:bookmarkStart w:id="32" w:name="_Toc505550599"/>
      <w:r>
        <w:rPr>
          <w:rFonts w:hint="eastAsia"/>
        </w:rPr>
        <w:t>7</w:t>
      </w:r>
      <w:r>
        <w:t>.</w:t>
      </w:r>
      <w:r>
        <w:rPr>
          <w:rFonts w:hint="eastAsia"/>
        </w:rPr>
        <w:t>2</w:t>
      </w:r>
      <w:r>
        <w:t xml:space="preserve"> </w:t>
      </w:r>
      <w:r>
        <w:rPr>
          <w:rFonts w:hint="eastAsia"/>
        </w:rPr>
        <w:t>废水</w:t>
      </w:r>
      <w:r>
        <w:t>标准</w:t>
      </w:r>
      <w:bookmarkEnd w:id="32"/>
    </w:p>
    <w:p>
      <w:pPr>
        <w:rPr>
          <w:rFonts w:ascii="宋体" w:cs="宋体"/>
        </w:rPr>
      </w:pPr>
      <w:bookmarkStart w:id="33" w:name="_Toc6086"/>
      <w:r>
        <w:rPr>
          <w:rFonts w:hint="eastAsia"/>
        </w:rPr>
        <w:t>本项目废水不外排。</w:t>
      </w:r>
    </w:p>
    <w:p>
      <w:pPr>
        <w:pStyle w:val="3"/>
      </w:pPr>
      <w:bookmarkStart w:id="34" w:name="_Toc505550600"/>
      <w:r>
        <w:rPr>
          <w:rFonts w:hint="eastAsia"/>
        </w:rPr>
        <w:t>7</w:t>
      </w:r>
      <w:r>
        <w:t>.</w:t>
      </w:r>
      <w:r>
        <w:rPr>
          <w:rFonts w:hint="eastAsia"/>
        </w:rPr>
        <w:t>3</w:t>
      </w:r>
      <w:r>
        <w:t xml:space="preserve"> 噪声标准</w:t>
      </w:r>
      <w:bookmarkEnd w:id="33"/>
      <w:bookmarkEnd w:id="34"/>
    </w:p>
    <w:p>
      <w:bookmarkStart w:id="35" w:name="_Toc18526"/>
      <w:r>
        <w:rPr>
          <w:rFonts w:hint="eastAsia"/>
        </w:rPr>
        <w:t>厂界噪声须满足《工业企业厂界环境噪声排放标准》(GB12348-2008)中2类标准。</w:t>
      </w:r>
    </w:p>
    <w:p>
      <w:pPr>
        <w:pStyle w:val="3"/>
      </w:pPr>
      <w:bookmarkStart w:id="36" w:name="_Toc505550601"/>
      <w:r>
        <w:rPr>
          <w:rFonts w:hint="eastAsia"/>
        </w:rPr>
        <w:t xml:space="preserve">7.4 </w:t>
      </w:r>
      <w:bookmarkEnd w:id="35"/>
      <w:r>
        <w:rPr>
          <w:rFonts w:hint="eastAsia"/>
        </w:rPr>
        <w:t>总量控制</w:t>
      </w:r>
      <w:bookmarkEnd w:id="36"/>
    </w:p>
    <w:p>
      <w:r>
        <w:rPr>
          <w:rFonts w:hint="eastAsia"/>
        </w:rPr>
        <w:t>根据国家规定的污染物排放总量控制指标及企业排污特征，本次验收监测确定的总量控制因子为：NH</w:t>
      </w:r>
      <w:r>
        <w:rPr>
          <w:rFonts w:hint="eastAsia"/>
          <w:vertAlign w:val="subscript"/>
        </w:rPr>
        <w:t>3</w:t>
      </w:r>
      <w:r>
        <w:rPr>
          <w:rFonts w:hint="eastAsia"/>
        </w:rPr>
        <w:t>-N、COD、</w:t>
      </w:r>
      <w:r>
        <w:t>SO</w:t>
      </w:r>
      <w:r>
        <w:rPr>
          <w:vertAlign w:val="subscript"/>
        </w:rPr>
        <w:t>2</w:t>
      </w:r>
      <w:r>
        <w:rPr>
          <w:rFonts w:hint="eastAsia"/>
        </w:rPr>
        <w:t>、</w:t>
      </w:r>
      <w:r>
        <w:t>NO</w:t>
      </w:r>
      <w:r>
        <w:rPr>
          <w:vertAlign w:val="subscript"/>
        </w:rPr>
        <w:t>X</w:t>
      </w:r>
      <w:r>
        <w:rPr>
          <w:rFonts w:hint="eastAsia"/>
        </w:rPr>
        <w:t>。</w:t>
      </w:r>
    </w:p>
    <w:p>
      <w:pPr>
        <w:pStyle w:val="2"/>
      </w:pPr>
      <w:bookmarkStart w:id="37" w:name="_Toc505550602"/>
      <w:bookmarkStart w:id="38" w:name="_Toc16396"/>
      <w:r>
        <w:rPr>
          <w:rFonts w:hint="eastAsia"/>
        </w:rPr>
        <w:t>八</w:t>
      </w:r>
      <w:r>
        <w:t>、质量控制和质量保证</w:t>
      </w:r>
      <w:bookmarkEnd w:id="37"/>
      <w:bookmarkEnd w:id="38"/>
    </w:p>
    <w:p>
      <w:pPr>
        <w:pStyle w:val="3"/>
      </w:pPr>
      <w:bookmarkStart w:id="39" w:name="_Toc27514"/>
      <w:bookmarkStart w:id="40" w:name="_Toc13605"/>
      <w:bookmarkStart w:id="41" w:name="_Toc505550603"/>
      <w:r>
        <w:rPr>
          <w:rFonts w:hint="eastAsia"/>
        </w:rPr>
        <w:t>8</w:t>
      </w:r>
      <w:r>
        <w:t>.1 检测分析方法及仪器</w:t>
      </w:r>
      <w:bookmarkEnd w:id="39"/>
      <w:bookmarkEnd w:id="40"/>
      <w:bookmarkEnd w:id="41"/>
    </w:p>
    <w:p>
      <w:r>
        <w:rPr>
          <w:rFonts w:hint="eastAsia"/>
        </w:rPr>
        <w:t>8.1.1 废气</w:t>
      </w:r>
    </w:p>
    <w:p>
      <w:r>
        <w:rPr>
          <w:rFonts w:hint="eastAsia"/>
        </w:rPr>
        <w:t>废气监测内容见表8</w:t>
      </w:r>
      <w:r>
        <w:t>-1</w:t>
      </w:r>
      <w:r>
        <w:rPr>
          <w:rFonts w:hint="eastAsia"/>
        </w:rPr>
        <w:t>，监测分析方法及依据见表8</w:t>
      </w:r>
      <w:r>
        <w:t>-2</w:t>
      </w:r>
      <w:r>
        <w:rPr>
          <w:rFonts w:hint="eastAsia"/>
        </w:rPr>
        <w:t>。</w:t>
      </w:r>
    </w:p>
    <w:p>
      <w:r>
        <w:rPr>
          <w:rFonts w:hint="eastAsia"/>
        </w:rPr>
        <w:t>表8</w:t>
      </w:r>
      <w:r>
        <w:t>-1</w:t>
      </w:r>
      <w:r>
        <w:rPr>
          <w:rFonts w:hint="eastAsia"/>
        </w:rPr>
        <w:t>废气监测内容</w:t>
      </w:r>
    </w:p>
    <w:tbl>
      <w:tblPr>
        <w:tblStyle w:val="27"/>
        <w:tblW w:w="8982" w:type="dxa"/>
        <w:jc w:val="center"/>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2201"/>
        <w:gridCol w:w="949"/>
        <w:gridCol w:w="250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627" w:type="dxa"/>
            <w:vAlign w:val="center"/>
          </w:tcPr>
          <w:p>
            <w:pPr>
              <w:ind w:firstLine="0" w:firstLineChars="0"/>
            </w:pPr>
            <w:r>
              <w:rPr>
                <w:rFonts w:hint="eastAsia"/>
              </w:rPr>
              <w:t>排放方式</w:t>
            </w:r>
          </w:p>
        </w:tc>
        <w:tc>
          <w:tcPr>
            <w:tcW w:w="2201" w:type="dxa"/>
            <w:vAlign w:val="center"/>
          </w:tcPr>
          <w:p>
            <w:pPr>
              <w:ind w:firstLine="0" w:firstLineChars="0"/>
            </w:pPr>
            <w:r>
              <w:rPr>
                <w:rFonts w:hint="eastAsia"/>
              </w:rPr>
              <w:t>监测点位</w:t>
            </w:r>
          </w:p>
        </w:tc>
        <w:tc>
          <w:tcPr>
            <w:tcW w:w="949" w:type="dxa"/>
            <w:vAlign w:val="center"/>
          </w:tcPr>
          <w:p>
            <w:pPr>
              <w:ind w:firstLine="0" w:firstLineChars="0"/>
            </w:pPr>
            <w:r>
              <w:rPr>
                <w:rFonts w:hint="eastAsia"/>
              </w:rPr>
              <w:t>点位数</w:t>
            </w:r>
          </w:p>
        </w:tc>
        <w:tc>
          <w:tcPr>
            <w:tcW w:w="2504" w:type="dxa"/>
            <w:vAlign w:val="center"/>
          </w:tcPr>
          <w:p>
            <w:pPr>
              <w:ind w:firstLine="0" w:firstLineChars="0"/>
            </w:pPr>
            <w:r>
              <w:rPr>
                <w:rFonts w:hint="eastAsia"/>
              </w:rPr>
              <w:t>监测项目</w:t>
            </w:r>
          </w:p>
        </w:tc>
        <w:tc>
          <w:tcPr>
            <w:tcW w:w="1701" w:type="dxa"/>
            <w:vAlign w:val="center"/>
          </w:tcPr>
          <w:p>
            <w:pPr>
              <w:ind w:firstLine="0" w:firstLineChars="0"/>
            </w:pPr>
            <w:r>
              <w:rPr>
                <w:rFonts w:hint="eastAsia"/>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627" w:type="dxa"/>
            <w:vAlign w:val="center"/>
          </w:tcPr>
          <w:p>
            <w:pPr>
              <w:ind w:firstLine="0" w:firstLineChars="0"/>
            </w:pPr>
            <w:r>
              <w:rPr>
                <w:rFonts w:hint="eastAsia"/>
              </w:rPr>
              <w:t>无组织排放</w:t>
            </w:r>
          </w:p>
        </w:tc>
        <w:tc>
          <w:tcPr>
            <w:tcW w:w="2201" w:type="dxa"/>
            <w:vAlign w:val="center"/>
          </w:tcPr>
          <w:p>
            <w:pPr>
              <w:ind w:firstLine="0" w:firstLineChars="0"/>
            </w:pPr>
            <w:r>
              <w:rPr>
                <w:rFonts w:hint="eastAsia"/>
              </w:rPr>
              <w:t>上风向1个点，下风向3个点</w:t>
            </w:r>
          </w:p>
        </w:tc>
        <w:tc>
          <w:tcPr>
            <w:tcW w:w="949" w:type="dxa"/>
            <w:vAlign w:val="center"/>
          </w:tcPr>
          <w:p>
            <w:pPr>
              <w:ind w:firstLine="0" w:firstLineChars="0"/>
            </w:pPr>
            <w:r>
              <w:rPr>
                <w:rFonts w:hint="eastAsia"/>
              </w:rPr>
              <w:t>4</w:t>
            </w:r>
          </w:p>
        </w:tc>
        <w:tc>
          <w:tcPr>
            <w:tcW w:w="2504" w:type="dxa"/>
            <w:vAlign w:val="center"/>
          </w:tcPr>
          <w:p>
            <w:pPr>
              <w:ind w:firstLine="0" w:firstLineChars="0"/>
            </w:pPr>
            <w:r>
              <w:rPr>
                <w:rFonts w:hint="eastAsia"/>
              </w:rPr>
              <w:t>颗粒物</w:t>
            </w:r>
          </w:p>
        </w:tc>
        <w:tc>
          <w:tcPr>
            <w:tcW w:w="1701" w:type="dxa"/>
            <w:vAlign w:val="center"/>
          </w:tcPr>
          <w:p>
            <w:pPr>
              <w:ind w:firstLine="0" w:firstLineChars="0"/>
            </w:pPr>
            <w:r>
              <w:t>2</w:t>
            </w:r>
            <w:r>
              <w:rPr>
                <w:rFonts w:hint="eastAsia"/>
              </w:rPr>
              <w:t>天</w:t>
            </w:r>
          </w:p>
          <w:p>
            <w:pPr>
              <w:ind w:firstLine="0" w:firstLineChars="0"/>
            </w:pPr>
            <w:r>
              <w:rPr>
                <w:rFonts w:hint="eastAsia"/>
              </w:rPr>
              <w:t>4次</w:t>
            </w:r>
            <w:r>
              <w:t>/</w:t>
            </w:r>
            <w:r>
              <w:rPr>
                <w:rFonts w:hint="eastAsia"/>
              </w:rPr>
              <w:t>天</w:t>
            </w:r>
          </w:p>
        </w:tc>
      </w:tr>
    </w:tbl>
    <w:p/>
    <w:p>
      <w:r>
        <w:rPr>
          <w:rFonts w:hint="eastAsia"/>
        </w:rPr>
        <w:t>表8</w:t>
      </w:r>
      <w:r>
        <w:t xml:space="preserve">-2  </w:t>
      </w:r>
      <w:r>
        <w:rPr>
          <w:rFonts w:hint="eastAsia"/>
        </w:rPr>
        <w:t>监测分析方法及依据</w:t>
      </w:r>
    </w:p>
    <w:tbl>
      <w:tblPr>
        <w:tblStyle w:val="27"/>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4397"/>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1827" w:type="dxa"/>
            <w:vAlign w:val="center"/>
          </w:tcPr>
          <w:p>
            <w:r>
              <w:rPr>
                <w:rFonts w:hint="eastAsia"/>
              </w:rPr>
              <w:t>污染物</w:t>
            </w:r>
          </w:p>
        </w:tc>
        <w:tc>
          <w:tcPr>
            <w:tcW w:w="4397" w:type="dxa"/>
            <w:vAlign w:val="center"/>
          </w:tcPr>
          <w:p>
            <w:r>
              <w:rPr>
                <w:rFonts w:hint="eastAsia"/>
              </w:rPr>
              <w:t>分析方法</w:t>
            </w:r>
          </w:p>
        </w:tc>
        <w:tc>
          <w:tcPr>
            <w:tcW w:w="2696" w:type="dxa"/>
            <w:vAlign w:val="center"/>
          </w:tcPr>
          <w:p>
            <w:r>
              <w:rPr>
                <w:rFonts w:hint="eastAsia"/>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827" w:type="dxa"/>
            <w:vAlign w:val="center"/>
          </w:tcPr>
          <w:p>
            <w:r>
              <w:rPr>
                <w:rFonts w:hint="eastAsia"/>
              </w:rPr>
              <w:t>颗粒物</w:t>
            </w:r>
          </w:p>
        </w:tc>
        <w:tc>
          <w:tcPr>
            <w:tcW w:w="4397" w:type="dxa"/>
            <w:vAlign w:val="center"/>
          </w:tcPr>
          <w:p>
            <w:r>
              <w:rPr>
                <w:rFonts w:hint="eastAsia"/>
              </w:rPr>
              <w:t>重量法</w:t>
            </w:r>
          </w:p>
        </w:tc>
        <w:tc>
          <w:tcPr>
            <w:tcW w:w="2696" w:type="dxa"/>
            <w:vAlign w:val="center"/>
          </w:tcPr>
          <w:p>
            <w:r>
              <w:rPr>
                <w:rFonts w:hint="eastAsia"/>
              </w:rPr>
              <w:t>GB/T15432-1995</w:t>
            </w:r>
          </w:p>
        </w:tc>
      </w:tr>
    </w:tbl>
    <w:p/>
    <w:p>
      <w:r>
        <w:rPr>
          <w:rFonts w:hint="eastAsia"/>
        </w:rPr>
        <w:t>8.1.2废水</w:t>
      </w:r>
    </w:p>
    <w:p>
      <w:pPr>
        <w:rPr>
          <w:rFonts w:ascii="宋体" w:hAnsi="宋体" w:cs="宋体"/>
        </w:rPr>
      </w:pPr>
      <w:r>
        <w:rPr>
          <w:rFonts w:hint="eastAsia"/>
        </w:rPr>
        <w:t>本项目废水不外排。</w:t>
      </w:r>
    </w:p>
    <w:p>
      <w:r>
        <w:rPr>
          <w:rFonts w:hint="eastAsia"/>
        </w:rPr>
        <w:t>8.1.3噪声</w:t>
      </w:r>
    </w:p>
    <w:p>
      <w:bookmarkStart w:id="42" w:name="_Toc28805"/>
      <w:bookmarkStart w:id="43" w:name="_Toc11444"/>
      <w:r>
        <w:rPr>
          <w:rFonts w:hint="eastAsia"/>
        </w:rPr>
        <w:t>监测点位：厂界外</w:t>
      </w:r>
      <w:r>
        <w:t>1m</w:t>
      </w:r>
      <w:r>
        <w:rPr>
          <w:rFonts w:hint="eastAsia"/>
        </w:rPr>
        <w:t>布设4个监测点位。（见附图4）</w:t>
      </w:r>
    </w:p>
    <w:p>
      <w:r>
        <w:rPr>
          <w:rFonts w:hint="eastAsia"/>
        </w:rPr>
        <w:t>监测频次：监测</w:t>
      </w:r>
      <w:r>
        <w:t>2</w:t>
      </w:r>
      <w:r>
        <w:rPr>
          <w:rFonts w:hint="eastAsia"/>
        </w:rPr>
        <w:t>天，每天1次（昼间</w:t>
      </w:r>
      <w:r>
        <w:t>1</w:t>
      </w:r>
      <w:r>
        <w:rPr>
          <w:rFonts w:hint="eastAsia"/>
        </w:rPr>
        <w:t>次、夜间不生产）。</w:t>
      </w:r>
    </w:p>
    <w:p>
      <w:r>
        <w:rPr>
          <w:rFonts w:hint="eastAsia"/>
        </w:rPr>
        <w:t>监测方法：执行《工业企业厂界环境噪声排放标准》（</w:t>
      </w:r>
      <w:r>
        <w:t>GB12348-2008</w:t>
      </w:r>
      <w:r>
        <w:rPr>
          <w:rFonts w:hint="eastAsia"/>
        </w:rPr>
        <w:t>）中规定的监测方法。</w:t>
      </w:r>
    </w:p>
    <w:p>
      <w:pPr>
        <w:pStyle w:val="3"/>
      </w:pPr>
      <w:bookmarkStart w:id="44" w:name="_Toc505550604"/>
      <w:r>
        <w:rPr>
          <w:rFonts w:hint="eastAsia"/>
        </w:rPr>
        <w:t>8</w:t>
      </w:r>
      <w:r>
        <w:t>.2 质量保证与质量控制</w:t>
      </w:r>
      <w:bookmarkEnd w:id="42"/>
      <w:bookmarkEnd w:id="43"/>
      <w:bookmarkEnd w:id="44"/>
    </w:p>
    <w:p>
      <w:bookmarkStart w:id="45" w:name="_Toc31973"/>
      <w:r>
        <w:rPr>
          <w:rFonts w:hint="eastAsia"/>
        </w:rPr>
        <w:t>（1）废气监测实行全过程的质量保证，有组织排放源监测技术要求执行《固定源废气监测技术规范》（</w:t>
      </w:r>
      <w:r>
        <w:t>HJ/T397-2007</w:t>
      </w:r>
      <w:r>
        <w:rPr>
          <w:rFonts w:hint="eastAsia"/>
        </w:rPr>
        <w:t>）、《固定污染源排气中颗粒物测定与气态污染物采样方法》（</w:t>
      </w:r>
      <w:r>
        <w:t>GB/T16157-1996</w:t>
      </w:r>
      <w:r>
        <w:rPr>
          <w:rFonts w:hint="eastAsia"/>
        </w:rPr>
        <w:t>）、《固定污染源监测质量保证和质量控制技术规范（试行）》（</w:t>
      </w:r>
      <w:r>
        <w:t>HJ/373-2007</w:t>
      </w:r>
      <w:r>
        <w:rPr>
          <w:rFonts w:hint="eastAsia"/>
        </w:rPr>
        <w:t>），无组织排放源监测技术要求按照《无组织排放监测技术导则》、《空气和废气监测质量保证手册》进行。采样仪器逐台进行流量校准。</w:t>
      </w:r>
    </w:p>
    <w:p>
      <w:r>
        <w:rPr>
          <w:rFonts w:hint="eastAsia"/>
        </w:rPr>
        <w:t>（2） 噪声监测质量保证和质量控制严格按照标准方法的相关规定执行。噪声监测仪器性能均提供国家计量检定合格。</w:t>
      </w:r>
    </w:p>
    <w:p>
      <w:pPr>
        <w:pStyle w:val="2"/>
      </w:pPr>
      <w:bookmarkStart w:id="46" w:name="_Toc505550605"/>
      <w:r>
        <w:rPr>
          <w:rFonts w:hint="eastAsia"/>
        </w:rPr>
        <w:t>九</w:t>
      </w:r>
      <w:r>
        <w:t>、验收监测结果及评价</w:t>
      </w:r>
      <w:bookmarkEnd w:id="45"/>
      <w:bookmarkEnd w:id="46"/>
    </w:p>
    <w:p>
      <w:pPr>
        <w:pStyle w:val="3"/>
      </w:pPr>
      <w:bookmarkStart w:id="47" w:name="_Toc505550606"/>
      <w:r>
        <w:rPr>
          <w:rFonts w:hint="eastAsia"/>
        </w:rPr>
        <w:t>9</w:t>
      </w:r>
      <w:r>
        <w:t>.1</w:t>
      </w:r>
      <w:r>
        <w:rPr>
          <w:rFonts w:hint="eastAsia"/>
        </w:rPr>
        <w:t>验收监测期间生产工况</w:t>
      </w:r>
      <w:bookmarkEnd w:id="47"/>
    </w:p>
    <w:p>
      <w:pPr>
        <w:rPr>
          <w:sz w:val="28"/>
          <w:szCs w:val="28"/>
        </w:rPr>
      </w:pPr>
      <w:r>
        <w:rPr>
          <w:rFonts w:hint="eastAsia"/>
        </w:rPr>
        <w:t>根据沧州鑫拓煤矿机械有限公司提供的生产负荷报表及现场查看，验收监测期间各项环保设施正常运行，生产负荷达到建设项目竣工环境保护验收监测工况</w:t>
      </w:r>
      <w:r>
        <w:t>75%</w:t>
      </w:r>
      <w:r>
        <w:rPr>
          <w:rFonts w:hint="eastAsia"/>
        </w:rPr>
        <w:t>以上的要求。</w:t>
      </w:r>
    </w:p>
    <w:p>
      <w:pPr>
        <w:pStyle w:val="3"/>
      </w:pPr>
      <w:bookmarkStart w:id="48" w:name="_Toc30046"/>
      <w:bookmarkStart w:id="49" w:name="_Toc505550607"/>
      <w:r>
        <w:rPr>
          <w:rFonts w:hint="eastAsia"/>
        </w:rPr>
        <w:t>9</w:t>
      </w:r>
      <w:r>
        <w:t>.</w:t>
      </w:r>
      <w:r>
        <w:rPr>
          <w:rFonts w:hint="eastAsia"/>
        </w:rPr>
        <w:t>2</w:t>
      </w:r>
      <w:r>
        <w:t xml:space="preserve"> 废气</w:t>
      </w:r>
      <w:r>
        <w:rPr>
          <w:rFonts w:hint="eastAsia"/>
        </w:rPr>
        <w:t>监</w:t>
      </w:r>
      <w:r>
        <w:t>测结果</w:t>
      </w:r>
      <w:bookmarkEnd w:id="48"/>
      <w:bookmarkEnd w:id="49"/>
    </w:p>
    <w:p>
      <w:r>
        <w:rPr>
          <w:rFonts w:hint="eastAsia"/>
        </w:rPr>
        <w:t>验收监测期间气象情况见表9</w:t>
      </w:r>
      <w:r>
        <w:t>-</w:t>
      </w:r>
      <w:r>
        <w:rPr>
          <w:rFonts w:hint="eastAsia"/>
        </w:rPr>
        <w:t>1，</w:t>
      </w:r>
    </w:p>
    <w:p>
      <w:r>
        <w:rPr>
          <w:rFonts w:hint="eastAsia"/>
        </w:rPr>
        <w:t>无组织排放废气监测结果见表9</w:t>
      </w:r>
      <w:r>
        <w:t>-</w:t>
      </w:r>
      <w:r>
        <w:rPr>
          <w:rFonts w:hint="eastAsia"/>
        </w:rPr>
        <w:t>2。</w:t>
      </w:r>
    </w:p>
    <w:p>
      <w:r>
        <w:rPr>
          <w:rFonts w:hint="eastAsia"/>
        </w:rPr>
        <w:t>表9</w:t>
      </w:r>
      <w:r>
        <w:t>-</w:t>
      </w:r>
      <w:r>
        <w:rPr>
          <w:rFonts w:hint="eastAsia"/>
        </w:rPr>
        <w:t>1验收监测期间气象情况</w:t>
      </w:r>
    </w:p>
    <w:tbl>
      <w:tblPr>
        <w:tblStyle w:val="27"/>
        <w:tblW w:w="80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233"/>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ind w:firstLine="0" w:firstLineChars="0"/>
            </w:pPr>
            <w:r>
              <w:rPr>
                <w:rFonts w:hint="eastAsia"/>
              </w:rPr>
              <w:t>监测日期</w:t>
            </w:r>
          </w:p>
        </w:tc>
        <w:tc>
          <w:tcPr>
            <w:tcW w:w="1704" w:type="dxa"/>
            <w:vAlign w:val="center"/>
          </w:tcPr>
          <w:p>
            <w:pPr>
              <w:ind w:firstLine="0" w:firstLineChars="0"/>
            </w:pPr>
            <w:r>
              <w:rPr>
                <w:rFonts w:hint="eastAsia"/>
              </w:rPr>
              <w:t>频次</w:t>
            </w:r>
          </w:p>
        </w:tc>
        <w:tc>
          <w:tcPr>
            <w:tcW w:w="1704" w:type="dxa"/>
            <w:vAlign w:val="center"/>
          </w:tcPr>
          <w:p>
            <w:pPr>
              <w:ind w:firstLine="0" w:firstLineChars="0"/>
            </w:pPr>
            <w:r>
              <w:rPr>
                <w:rFonts w:hint="eastAsia"/>
              </w:rPr>
              <w:t>风向</w:t>
            </w:r>
          </w:p>
        </w:tc>
        <w:tc>
          <w:tcPr>
            <w:tcW w:w="1233" w:type="dxa"/>
            <w:vAlign w:val="center"/>
          </w:tcPr>
          <w:p>
            <w:pPr>
              <w:ind w:firstLine="0" w:firstLineChars="0"/>
            </w:pPr>
            <w:r>
              <w:rPr>
                <w:rFonts w:hint="eastAsia"/>
              </w:rPr>
              <w:t>气温（℃）</w:t>
            </w:r>
          </w:p>
        </w:tc>
        <w:tc>
          <w:tcPr>
            <w:tcW w:w="1705" w:type="dxa"/>
            <w:vAlign w:val="center"/>
          </w:tcPr>
          <w:p>
            <w:pPr>
              <w:ind w:firstLine="0" w:firstLineChars="0"/>
            </w:pPr>
            <w:r>
              <w:rPr>
                <w:rFonts w:hint="eastAsia"/>
              </w:rPr>
              <w:t>气压（</w:t>
            </w:r>
            <w:r>
              <w:t>kPa</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vAlign w:val="center"/>
          </w:tcPr>
          <w:p>
            <w:pPr>
              <w:ind w:firstLine="0" w:firstLineChars="0"/>
            </w:pPr>
            <w:r>
              <w:rPr>
                <w:rFonts w:hint="eastAsia"/>
              </w:rPr>
              <w:t>12月20日</w:t>
            </w:r>
          </w:p>
        </w:tc>
        <w:tc>
          <w:tcPr>
            <w:tcW w:w="1704" w:type="dxa"/>
            <w:vAlign w:val="center"/>
          </w:tcPr>
          <w:p>
            <w:pPr>
              <w:ind w:firstLine="0" w:firstLineChars="0"/>
            </w:pPr>
            <w:r>
              <w:t>1</w:t>
            </w:r>
          </w:p>
        </w:tc>
        <w:tc>
          <w:tcPr>
            <w:tcW w:w="1704" w:type="dxa"/>
            <w:vAlign w:val="center"/>
          </w:tcPr>
          <w:p>
            <w:pPr>
              <w:ind w:firstLine="0" w:firstLineChars="0"/>
            </w:pPr>
            <w:r>
              <w:rPr>
                <w:rFonts w:hint="eastAsia"/>
              </w:rPr>
              <w:t>东北</w:t>
            </w:r>
          </w:p>
        </w:tc>
        <w:tc>
          <w:tcPr>
            <w:tcW w:w="1233" w:type="dxa"/>
            <w:vAlign w:val="center"/>
          </w:tcPr>
          <w:p>
            <w:pPr>
              <w:ind w:firstLine="0" w:firstLineChars="0"/>
            </w:pPr>
            <w:r>
              <w:rPr>
                <w:rFonts w:hint="eastAsia"/>
              </w:rPr>
              <w:t>2</w:t>
            </w:r>
          </w:p>
        </w:tc>
        <w:tc>
          <w:tcPr>
            <w:tcW w:w="1705" w:type="dxa"/>
            <w:vAlign w:val="center"/>
          </w:tcPr>
          <w:p>
            <w:pPr>
              <w:ind w:firstLine="0" w:firstLineChars="0"/>
            </w:pPr>
            <w:r>
              <w:t>10</w:t>
            </w:r>
            <w:r>
              <w:rPr>
                <w:rFonts w:hint="eastAsia"/>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ind w:firstLine="0" w:firstLineChars="0"/>
            </w:pPr>
          </w:p>
        </w:tc>
        <w:tc>
          <w:tcPr>
            <w:tcW w:w="1704" w:type="dxa"/>
            <w:vAlign w:val="center"/>
          </w:tcPr>
          <w:p>
            <w:pPr>
              <w:ind w:firstLine="0" w:firstLineChars="0"/>
            </w:pPr>
            <w:r>
              <w:t>2</w:t>
            </w:r>
          </w:p>
        </w:tc>
        <w:tc>
          <w:tcPr>
            <w:tcW w:w="1704" w:type="dxa"/>
            <w:vAlign w:val="center"/>
          </w:tcPr>
          <w:p>
            <w:pPr>
              <w:ind w:firstLine="0" w:firstLineChars="0"/>
            </w:pPr>
            <w:r>
              <w:rPr>
                <w:rFonts w:hint="eastAsia"/>
              </w:rPr>
              <w:t>东北</w:t>
            </w:r>
          </w:p>
        </w:tc>
        <w:tc>
          <w:tcPr>
            <w:tcW w:w="1233" w:type="dxa"/>
            <w:vAlign w:val="center"/>
          </w:tcPr>
          <w:p>
            <w:pPr>
              <w:ind w:firstLine="0" w:firstLineChars="0"/>
            </w:pPr>
            <w:r>
              <w:rPr>
                <w:rFonts w:hint="eastAsia"/>
              </w:rPr>
              <w:t>4</w:t>
            </w:r>
          </w:p>
        </w:tc>
        <w:tc>
          <w:tcPr>
            <w:tcW w:w="1705" w:type="dxa"/>
            <w:vAlign w:val="center"/>
          </w:tcPr>
          <w:p>
            <w:pPr>
              <w:ind w:firstLine="0" w:firstLineChars="0"/>
            </w:pPr>
            <w:r>
              <w:t>10</w:t>
            </w:r>
            <w:r>
              <w:rPr>
                <w:rFonts w:hint="eastAsia"/>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ind w:firstLine="0" w:firstLineChars="0"/>
            </w:pPr>
          </w:p>
        </w:tc>
        <w:tc>
          <w:tcPr>
            <w:tcW w:w="1704" w:type="dxa"/>
            <w:vAlign w:val="center"/>
          </w:tcPr>
          <w:p>
            <w:pPr>
              <w:ind w:firstLine="0" w:firstLineChars="0"/>
            </w:pPr>
            <w:r>
              <w:t>3</w:t>
            </w:r>
          </w:p>
        </w:tc>
        <w:tc>
          <w:tcPr>
            <w:tcW w:w="1704" w:type="dxa"/>
            <w:vAlign w:val="center"/>
          </w:tcPr>
          <w:p>
            <w:pPr>
              <w:ind w:firstLine="0" w:firstLineChars="0"/>
            </w:pPr>
            <w:r>
              <w:rPr>
                <w:rFonts w:hint="eastAsia"/>
              </w:rPr>
              <w:t>东北</w:t>
            </w:r>
          </w:p>
        </w:tc>
        <w:tc>
          <w:tcPr>
            <w:tcW w:w="1233" w:type="dxa"/>
            <w:vAlign w:val="center"/>
          </w:tcPr>
          <w:p>
            <w:pPr>
              <w:ind w:firstLine="0" w:firstLineChars="0"/>
            </w:pPr>
            <w:r>
              <w:rPr>
                <w:rFonts w:hint="eastAsia"/>
              </w:rPr>
              <w:t>5</w:t>
            </w:r>
          </w:p>
        </w:tc>
        <w:tc>
          <w:tcPr>
            <w:tcW w:w="1705" w:type="dxa"/>
            <w:vAlign w:val="center"/>
          </w:tcPr>
          <w:p>
            <w:pPr>
              <w:ind w:firstLine="0" w:firstLineChars="0"/>
            </w:pPr>
            <w:r>
              <w:t>10</w:t>
            </w:r>
            <w:r>
              <w:rPr>
                <w:rFonts w:hint="eastAsia"/>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ind w:firstLine="0" w:firstLineChars="0"/>
            </w:pPr>
          </w:p>
        </w:tc>
        <w:tc>
          <w:tcPr>
            <w:tcW w:w="1704" w:type="dxa"/>
            <w:vAlign w:val="center"/>
          </w:tcPr>
          <w:p>
            <w:pPr>
              <w:ind w:firstLine="0" w:firstLineChars="0"/>
            </w:pPr>
            <w:r>
              <w:t>4</w:t>
            </w:r>
          </w:p>
        </w:tc>
        <w:tc>
          <w:tcPr>
            <w:tcW w:w="1704" w:type="dxa"/>
            <w:vAlign w:val="center"/>
          </w:tcPr>
          <w:p>
            <w:pPr>
              <w:ind w:firstLine="0" w:firstLineChars="0"/>
            </w:pPr>
            <w:r>
              <w:rPr>
                <w:rFonts w:hint="eastAsia"/>
              </w:rPr>
              <w:t>东北</w:t>
            </w:r>
          </w:p>
        </w:tc>
        <w:tc>
          <w:tcPr>
            <w:tcW w:w="1233" w:type="dxa"/>
            <w:vAlign w:val="center"/>
          </w:tcPr>
          <w:p>
            <w:pPr>
              <w:ind w:firstLine="0" w:firstLineChars="0"/>
            </w:pPr>
            <w:r>
              <w:rPr>
                <w:rFonts w:hint="eastAsia"/>
              </w:rPr>
              <w:t>3</w:t>
            </w:r>
          </w:p>
        </w:tc>
        <w:tc>
          <w:tcPr>
            <w:tcW w:w="1705" w:type="dxa"/>
            <w:vAlign w:val="center"/>
          </w:tcPr>
          <w:p>
            <w:pPr>
              <w:ind w:firstLine="0" w:firstLineChars="0"/>
            </w:pPr>
            <w:r>
              <w:t>10</w:t>
            </w:r>
            <w:r>
              <w:rPr>
                <w:rFonts w:hint="eastAsia"/>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vAlign w:val="center"/>
          </w:tcPr>
          <w:p>
            <w:pPr>
              <w:ind w:firstLine="0" w:firstLineChars="0"/>
            </w:pPr>
            <w:r>
              <w:rPr>
                <w:rFonts w:hint="eastAsia"/>
              </w:rPr>
              <w:t>12月21日</w:t>
            </w:r>
          </w:p>
        </w:tc>
        <w:tc>
          <w:tcPr>
            <w:tcW w:w="1704" w:type="dxa"/>
            <w:vAlign w:val="center"/>
          </w:tcPr>
          <w:p>
            <w:pPr>
              <w:ind w:firstLine="0" w:firstLineChars="0"/>
            </w:pPr>
            <w:r>
              <w:t>1</w:t>
            </w:r>
          </w:p>
        </w:tc>
        <w:tc>
          <w:tcPr>
            <w:tcW w:w="1704" w:type="dxa"/>
            <w:vAlign w:val="center"/>
          </w:tcPr>
          <w:p>
            <w:pPr>
              <w:ind w:firstLine="0" w:firstLineChars="0"/>
            </w:pPr>
            <w:r>
              <w:rPr>
                <w:rFonts w:hint="eastAsia"/>
              </w:rPr>
              <w:t>东北</w:t>
            </w:r>
          </w:p>
        </w:tc>
        <w:tc>
          <w:tcPr>
            <w:tcW w:w="1233" w:type="dxa"/>
            <w:vAlign w:val="center"/>
          </w:tcPr>
          <w:p>
            <w:pPr>
              <w:ind w:firstLine="0" w:firstLineChars="0"/>
            </w:pPr>
            <w:r>
              <w:rPr>
                <w:rFonts w:hint="eastAsia"/>
              </w:rPr>
              <w:t>3</w:t>
            </w:r>
          </w:p>
        </w:tc>
        <w:tc>
          <w:tcPr>
            <w:tcW w:w="1705" w:type="dxa"/>
            <w:vAlign w:val="center"/>
          </w:tcPr>
          <w:p>
            <w:pPr>
              <w:ind w:firstLine="0" w:firstLineChars="0"/>
            </w:pPr>
            <w:r>
              <w:t>10</w:t>
            </w:r>
            <w:r>
              <w:rPr>
                <w:rFonts w:hint="eastAsia"/>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ind w:firstLine="0" w:firstLineChars="0"/>
            </w:pPr>
          </w:p>
        </w:tc>
        <w:tc>
          <w:tcPr>
            <w:tcW w:w="1704" w:type="dxa"/>
            <w:vAlign w:val="center"/>
          </w:tcPr>
          <w:p>
            <w:pPr>
              <w:ind w:firstLine="0" w:firstLineChars="0"/>
            </w:pPr>
            <w:r>
              <w:t>2</w:t>
            </w:r>
          </w:p>
        </w:tc>
        <w:tc>
          <w:tcPr>
            <w:tcW w:w="1704" w:type="dxa"/>
            <w:vAlign w:val="center"/>
          </w:tcPr>
          <w:p>
            <w:pPr>
              <w:ind w:firstLine="0" w:firstLineChars="0"/>
            </w:pPr>
            <w:r>
              <w:rPr>
                <w:rFonts w:hint="eastAsia"/>
              </w:rPr>
              <w:t>东北</w:t>
            </w:r>
          </w:p>
        </w:tc>
        <w:tc>
          <w:tcPr>
            <w:tcW w:w="1233" w:type="dxa"/>
            <w:vAlign w:val="center"/>
          </w:tcPr>
          <w:p>
            <w:pPr>
              <w:ind w:firstLine="0" w:firstLineChars="0"/>
            </w:pPr>
            <w:r>
              <w:rPr>
                <w:rFonts w:hint="eastAsia"/>
              </w:rPr>
              <w:t>5</w:t>
            </w:r>
          </w:p>
        </w:tc>
        <w:tc>
          <w:tcPr>
            <w:tcW w:w="1705" w:type="dxa"/>
            <w:vAlign w:val="center"/>
          </w:tcPr>
          <w:p>
            <w:pPr>
              <w:ind w:firstLine="0" w:firstLineChars="0"/>
            </w:pPr>
            <w:r>
              <w:t>10</w:t>
            </w:r>
            <w:r>
              <w:rPr>
                <w:rFonts w:hint="eastAsia"/>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ind w:firstLine="0" w:firstLineChars="0"/>
            </w:pPr>
          </w:p>
        </w:tc>
        <w:tc>
          <w:tcPr>
            <w:tcW w:w="1704" w:type="dxa"/>
            <w:vAlign w:val="center"/>
          </w:tcPr>
          <w:p>
            <w:pPr>
              <w:ind w:firstLine="0" w:firstLineChars="0"/>
            </w:pPr>
            <w:r>
              <w:t>3</w:t>
            </w:r>
          </w:p>
        </w:tc>
        <w:tc>
          <w:tcPr>
            <w:tcW w:w="1704" w:type="dxa"/>
            <w:vAlign w:val="center"/>
          </w:tcPr>
          <w:p>
            <w:pPr>
              <w:ind w:firstLine="0" w:firstLineChars="0"/>
            </w:pPr>
            <w:r>
              <w:rPr>
                <w:rFonts w:hint="eastAsia"/>
              </w:rPr>
              <w:t>东北</w:t>
            </w:r>
          </w:p>
        </w:tc>
        <w:tc>
          <w:tcPr>
            <w:tcW w:w="1233" w:type="dxa"/>
            <w:vAlign w:val="center"/>
          </w:tcPr>
          <w:p>
            <w:pPr>
              <w:ind w:firstLine="0" w:firstLineChars="0"/>
            </w:pPr>
            <w:r>
              <w:rPr>
                <w:rFonts w:hint="eastAsia"/>
              </w:rPr>
              <w:t>6</w:t>
            </w:r>
          </w:p>
        </w:tc>
        <w:tc>
          <w:tcPr>
            <w:tcW w:w="1705" w:type="dxa"/>
            <w:vAlign w:val="center"/>
          </w:tcPr>
          <w:p>
            <w:pPr>
              <w:ind w:firstLine="0" w:firstLineChars="0"/>
            </w:pPr>
            <w:r>
              <w:t>10</w:t>
            </w:r>
            <w:r>
              <w:rPr>
                <w:rFonts w:hint="eastAsia"/>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ind w:firstLine="0" w:firstLineChars="0"/>
            </w:pPr>
          </w:p>
        </w:tc>
        <w:tc>
          <w:tcPr>
            <w:tcW w:w="1704" w:type="dxa"/>
            <w:vAlign w:val="center"/>
          </w:tcPr>
          <w:p>
            <w:pPr>
              <w:ind w:firstLine="0" w:firstLineChars="0"/>
            </w:pPr>
            <w:r>
              <w:t>4</w:t>
            </w:r>
          </w:p>
        </w:tc>
        <w:tc>
          <w:tcPr>
            <w:tcW w:w="1704" w:type="dxa"/>
            <w:vAlign w:val="center"/>
          </w:tcPr>
          <w:p>
            <w:pPr>
              <w:ind w:firstLine="0" w:firstLineChars="0"/>
            </w:pPr>
            <w:r>
              <w:rPr>
                <w:rFonts w:hint="eastAsia"/>
              </w:rPr>
              <w:t>东北</w:t>
            </w:r>
          </w:p>
        </w:tc>
        <w:tc>
          <w:tcPr>
            <w:tcW w:w="1233" w:type="dxa"/>
            <w:vAlign w:val="center"/>
          </w:tcPr>
          <w:p>
            <w:pPr>
              <w:ind w:firstLine="0" w:firstLineChars="0"/>
            </w:pPr>
            <w:r>
              <w:rPr>
                <w:rFonts w:hint="eastAsia"/>
              </w:rPr>
              <w:t>5</w:t>
            </w:r>
          </w:p>
        </w:tc>
        <w:tc>
          <w:tcPr>
            <w:tcW w:w="1705" w:type="dxa"/>
            <w:vAlign w:val="center"/>
          </w:tcPr>
          <w:p>
            <w:pPr>
              <w:ind w:firstLine="0" w:firstLineChars="0"/>
            </w:pPr>
            <w:r>
              <w:t>10</w:t>
            </w:r>
            <w:r>
              <w:rPr>
                <w:rFonts w:hint="eastAsia"/>
              </w:rPr>
              <w:t>4.38</w:t>
            </w:r>
          </w:p>
        </w:tc>
      </w:tr>
    </w:tbl>
    <w:p>
      <w:r>
        <w:rPr>
          <w:rFonts w:hint="eastAsia"/>
        </w:rPr>
        <w:t>表9</w:t>
      </w:r>
      <w:r>
        <w:t>-</w:t>
      </w:r>
      <w:r>
        <w:rPr>
          <w:rFonts w:hint="eastAsia"/>
        </w:rPr>
        <w:t>2无组织排放颗粒物监测结果（单位：mg/m</w:t>
      </w:r>
      <w:r>
        <w:rPr>
          <w:rFonts w:hint="eastAsia"/>
          <w:vertAlign w:val="superscript"/>
        </w:rPr>
        <w:t>3</w:t>
      </w:r>
      <w:r>
        <w:rPr>
          <w:rFonts w:hint="eastAsia"/>
        </w:rPr>
        <w:t>）</w:t>
      </w:r>
    </w:p>
    <w:tbl>
      <w:tblPr>
        <w:tblStyle w:val="27"/>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972"/>
        <w:gridCol w:w="918"/>
        <w:gridCol w:w="845"/>
        <w:gridCol w:w="923"/>
        <w:gridCol w:w="844"/>
        <w:gridCol w:w="986"/>
        <w:gridCol w:w="1704"/>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trPr>
        <w:tc>
          <w:tcPr>
            <w:tcW w:w="574" w:type="dxa"/>
            <w:vAlign w:val="center"/>
          </w:tcPr>
          <w:p>
            <w:pPr>
              <w:ind w:firstLine="0" w:firstLineChars="0"/>
            </w:pPr>
            <w:r>
              <w:rPr>
                <w:rFonts w:ascii="Calibri"/>
              </w:rPr>
              <w:pict>
                <v:line id="直线 2" o:spid="_x0000_s1105" o:spt="20" style="position:absolute;left:0pt;margin-left:23pt;margin-top:-2.85pt;height:66.6pt;width:48.7pt;z-index:251722752;mso-width-relative:page;mso-height-relative:page;" coordsize="21600,21600" o:gfxdata="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Fw9r9YAAAAIAQAADwAAAAAAAAABACAAAAAiAAAA&#10;ZHJzL2Rvd25yZXYueG1sUEsBAhQAFAAAAAgAh07iQB3P7OTQAQAAkQMAAA4AAAAAAAAAAQAgAAAA&#10;JQEAAGRycy9lMm9Eb2MueG1sUEsFBgAAAAAGAAYAWQEAAGcFAAAAAA==&#10;">
                  <v:path arrowok="t"/>
                  <v:fill focussize="0,0"/>
                  <v:stroke/>
                  <v:imagedata o:title=""/>
                  <o:lock v:ext="edit"/>
                </v:line>
              </w:pict>
            </w:r>
            <w:r>
              <w:rPr>
                <w:rFonts w:hint="eastAsia" w:hAnsi="宋体"/>
                <w:sz w:val="21"/>
              </w:rPr>
              <w:t>日期</w:t>
            </w:r>
          </w:p>
        </w:tc>
        <w:tc>
          <w:tcPr>
            <w:tcW w:w="972" w:type="dxa"/>
            <w:vAlign w:val="center"/>
          </w:tcPr>
          <w:p>
            <w:pPr>
              <w:ind w:firstLine="0" w:firstLineChars="0"/>
            </w:pPr>
            <w:r>
              <w:rPr>
                <w:rFonts w:hint="eastAsia"/>
              </w:rPr>
              <w:t>点位</w:t>
            </w:r>
            <w:r>
              <w:t xml:space="preserve"> </w:t>
            </w:r>
          </w:p>
          <w:p>
            <w:pPr>
              <w:ind w:firstLine="0" w:firstLineChars="0"/>
            </w:pPr>
          </w:p>
          <w:p>
            <w:pPr>
              <w:ind w:firstLine="0" w:firstLineChars="0"/>
            </w:pPr>
            <w:r>
              <w:rPr>
                <w:rFonts w:hint="eastAsia"/>
              </w:rPr>
              <w:t>频次</w:t>
            </w:r>
          </w:p>
        </w:tc>
        <w:tc>
          <w:tcPr>
            <w:tcW w:w="918" w:type="dxa"/>
            <w:vAlign w:val="center"/>
          </w:tcPr>
          <w:p>
            <w:pPr>
              <w:ind w:firstLine="0" w:firstLineChars="0"/>
            </w:pPr>
            <w:r>
              <w:t>1#</w:t>
            </w:r>
          </w:p>
        </w:tc>
        <w:tc>
          <w:tcPr>
            <w:tcW w:w="845" w:type="dxa"/>
            <w:vAlign w:val="center"/>
          </w:tcPr>
          <w:p>
            <w:pPr>
              <w:ind w:firstLine="0" w:firstLineChars="0"/>
            </w:pPr>
            <w:r>
              <w:t>2#</w:t>
            </w:r>
          </w:p>
        </w:tc>
        <w:tc>
          <w:tcPr>
            <w:tcW w:w="923" w:type="dxa"/>
            <w:vAlign w:val="center"/>
          </w:tcPr>
          <w:p>
            <w:pPr>
              <w:ind w:firstLine="0" w:firstLineChars="0"/>
            </w:pPr>
            <w:r>
              <w:t>3#</w:t>
            </w:r>
          </w:p>
        </w:tc>
        <w:tc>
          <w:tcPr>
            <w:tcW w:w="844" w:type="dxa"/>
            <w:vAlign w:val="center"/>
          </w:tcPr>
          <w:p>
            <w:pPr>
              <w:ind w:firstLine="0" w:firstLineChars="0"/>
            </w:pPr>
            <w:r>
              <w:rPr>
                <w:rFonts w:hint="eastAsia"/>
              </w:rPr>
              <w:t>4#</w:t>
            </w:r>
          </w:p>
        </w:tc>
        <w:tc>
          <w:tcPr>
            <w:tcW w:w="986" w:type="dxa"/>
            <w:vAlign w:val="center"/>
          </w:tcPr>
          <w:p>
            <w:pPr>
              <w:ind w:firstLine="0" w:firstLineChars="0"/>
            </w:pPr>
            <w:r>
              <w:rPr>
                <w:rFonts w:hint="eastAsia"/>
              </w:rPr>
              <w:t>最高值</w:t>
            </w:r>
          </w:p>
        </w:tc>
        <w:tc>
          <w:tcPr>
            <w:tcW w:w="1704" w:type="dxa"/>
            <w:vAlign w:val="center"/>
          </w:tcPr>
          <w:p>
            <w:pPr>
              <w:ind w:firstLine="0" w:firstLineChars="0"/>
            </w:pPr>
            <w:r>
              <w:rPr>
                <w:rFonts w:hint="eastAsia"/>
              </w:rPr>
              <w:t>执行标准号及限值</w:t>
            </w:r>
          </w:p>
        </w:tc>
        <w:tc>
          <w:tcPr>
            <w:tcW w:w="755" w:type="dxa"/>
            <w:vAlign w:val="center"/>
          </w:tcPr>
          <w:p>
            <w:pPr>
              <w:ind w:firstLine="0" w:firstLineChars="0"/>
            </w:pPr>
            <w:r>
              <w:rPr>
                <w:rFonts w:hint="eastAsia"/>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74" w:type="dxa"/>
            <w:vMerge w:val="restart"/>
            <w:vAlign w:val="center"/>
          </w:tcPr>
          <w:p>
            <w:pPr>
              <w:ind w:firstLine="0" w:firstLineChars="0"/>
            </w:pPr>
            <w:r>
              <w:rPr>
                <w:rFonts w:hint="eastAsia"/>
              </w:rPr>
              <w:t>12月</w:t>
            </w:r>
          </w:p>
          <w:p>
            <w:pPr>
              <w:ind w:firstLine="0" w:firstLineChars="0"/>
            </w:pPr>
            <w:r>
              <w:rPr>
                <w:rFonts w:hint="eastAsia"/>
              </w:rPr>
              <w:t>20日</w:t>
            </w:r>
          </w:p>
        </w:tc>
        <w:tc>
          <w:tcPr>
            <w:tcW w:w="972" w:type="dxa"/>
            <w:vAlign w:val="center"/>
          </w:tcPr>
          <w:p>
            <w:pPr>
              <w:ind w:firstLine="0" w:firstLineChars="0"/>
              <w:jc w:val="center"/>
            </w:pPr>
            <w:r>
              <w:t>1</w:t>
            </w:r>
          </w:p>
        </w:tc>
        <w:tc>
          <w:tcPr>
            <w:tcW w:w="918" w:type="dxa"/>
            <w:vAlign w:val="center"/>
          </w:tcPr>
          <w:p>
            <w:pPr>
              <w:ind w:firstLine="0" w:firstLineChars="0"/>
            </w:pPr>
            <w:r>
              <w:rPr>
                <w:rFonts w:hint="eastAsia"/>
              </w:rPr>
              <w:t>0.576</w:t>
            </w:r>
          </w:p>
        </w:tc>
        <w:tc>
          <w:tcPr>
            <w:tcW w:w="845" w:type="dxa"/>
            <w:vAlign w:val="center"/>
          </w:tcPr>
          <w:p>
            <w:pPr>
              <w:ind w:firstLine="0" w:firstLineChars="0"/>
            </w:pPr>
            <w:r>
              <w:rPr>
                <w:rFonts w:hint="eastAsia"/>
              </w:rPr>
              <w:t>0.527</w:t>
            </w:r>
          </w:p>
        </w:tc>
        <w:tc>
          <w:tcPr>
            <w:tcW w:w="923" w:type="dxa"/>
            <w:vAlign w:val="center"/>
          </w:tcPr>
          <w:p>
            <w:pPr>
              <w:ind w:firstLine="0" w:firstLineChars="0"/>
            </w:pPr>
            <w:r>
              <w:rPr>
                <w:rFonts w:hint="eastAsia"/>
              </w:rPr>
              <w:t>0.516</w:t>
            </w:r>
          </w:p>
        </w:tc>
        <w:tc>
          <w:tcPr>
            <w:tcW w:w="844" w:type="dxa"/>
            <w:vAlign w:val="center"/>
          </w:tcPr>
          <w:p>
            <w:pPr>
              <w:ind w:firstLine="0" w:firstLineChars="0"/>
            </w:pPr>
            <w:r>
              <w:rPr>
                <w:rFonts w:hint="eastAsia"/>
              </w:rPr>
              <w:t>0.508</w:t>
            </w:r>
          </w:p>
        </w:tc>
        <w:tc>
          <w:tcPr>
            <w:tcW w:w="986" w:type="dxa"/>
            <w:vMerge w:val="restart"/>
            <w:vAlign w:val="center"/>
          </w:tcPr>
          <w:p>
            <w:pPr>
              <w:ind w:firstLine="0" w:firstLineChars="0"/>
            </w:pPr>
            <w:r>
              <w:rPr>
                <w:rFonts w:hint="eastAsia"/>
              </w:rPr>
              <w:t>0.638</w:t>
            </w:r>
          </w:p>
        </w:tc>
        <w:tc>
          <w:tcPr>
            <w:tcW w:w="1704" w:type="dxa"/>
            <w:vMerge w:val="restart"/>
            <w:vAlign w:val="center"/>
          </w:tcPr>
          <w:p>
            <w:pPr>
              <w:ind w:firstLine="0" w:firstLineChars="0"/>
            </w:pPr>
            <w:r>
              <w:rPr>
                <w:rFonts w:hint="eastAsia"/>
              </w:rPr>
              <w:t>GB16297-1996</w:t>
            </w:r>
          </w:p>
          <w:p>
            <w:pPr>
              <w:ind w:firstLine="0" w:firstLineChars="0"/>
            </w:pPr>
            <w:r>
              <w:rPr>
                <w:rFonts w:hint="eastAsia"/>
              </w:rPr>
              <w:t>1.0</w:t>
            </w:r>
          </w:p>
        </w:tc>
        <w:tc>
          <w:tcPr>
            <w:tcW w:w="755" w:type="dxa"/>
            <w:vMerge w:val="restart"/>
            <w:vAlign w:val="center"/>
          </w:tcPr>
          <w:p>
            <w:pPr>
              <w:ind w:firstLine="0" w:firstLineChars="0"/>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74" w:type="dxa"/>
            <w:vMerge w:val="continue"/>
            <w:vAlign w:val="center"/>
          </w:tcPr>
          <w:p>
            <w:pPr>
              <w:ind w:firstLine="0" w:firstLineChars="0"/>
            </w:pPr>
          </w:p>
        </w:tc>
        <w:tc>
          <w:tcPr>
            <w:tcW w:w="972" w:type="dxa"/>
            <w:vAlign w:val="center"/>
          </w:tcPr>
          <w:p>
            <w:pPr>
              <w:ind w:firstLine="0" w:firstLineChars="0"/>
              <w:jc w:val="center"/>
            </w:pPr>
            <w:r>
              <w:t>2</w:t>
            </w:r>
          </w:p>
        </w:tc>
        <w:tc>
          <w:tcPr>
            <w:tcW w:w="918" w:type="dxa"/>
            <w:vAlign w:val="center"/>
          </w:tcPr>
          <w:p>
            <w:pPr>
              <w:ind w:firstLine="0" w:firstLineChars="0"/>
            </w:pPr>
            <w:r>
              <w:rPr>
                <w:rFonts w:hint="eastAsia"/>
              </w:rPr>
              <w:t>0.627</w:t>
            </w:r>
          </w:p>
        </w:tc>
        <w:tc>
          <w:tcPr>
            <w:tcW w:w="845" w:type="dxa"/>
            <w:vAlign w:val="center"/>
          </w:tcPr>
          <w:p>
            <w:pPr>
              <w:ind w:firstLine="0" w:firstLineChars="0"/>
            </w:pPr>
            <w:r>
              <w:rPr>
                <w:rFonts w:hint="eastAsia"/>
              </w:rPr>
              <w:t>0.518</w:t>
            </w:r>
          </w:p>
        </w:tc>
        <w:tc>
          <w:tcPr>
            <w:tcW w:w="923" w:type="dxa"/>
            <w:vAlign w:val="center"/>
          </w:tcPr>
          <w:p>
            <w:pPr>
              <w:ind w:firstLine="0" w:firstLineChars="0"/>
            </w:pPr>
            <w:r>
              <w:rPr>
                <w:rFonts w:hint="eastAsia"/>
              </w:rPr>
              <w:t>0.638</w:t>
            </w:r>
          </w:p>
        </w:tc>
        <w:tc>
          <w:tcPr>
            <w:tcW w:w="844" w:type="dxa"/>
            <w:vAlign w:val="center"/>
          </w:tcPr>
          <w:p>
            <w:pPr>
              <w:ind w:firstLine="0" w:firstLineChars="0"/>
            </w:pPr>
            <w:r>
              <w:rPr>
                <w:rFonts w:hint="eastAsia"/>
              </w:rPr>
              <w:t>0.470</w:t>
            </w:r>
          </w:p>
        </w:tc>
        <w:tc>
          <w:tcPr>
            <w:tcW w:w="986" w:type="dxa"/>
            <w:vMerge w:val="continue"/>
            <w:vAlign w:val="center"/>
          </w:tcPr>
          <w:p>
            <w:pPr>
              <w:ind w:firstLine="0" w:firstLineChars="0"/>
            </w:pPr>
          </w:p>
        </w:tc>
        <w:tc>
          <w:tcPr>
            <w:tcW w:w="1704" w:type="dxa"/>
            <w:vMerge w:val="continue"/>
            <w:vAlign w:val="center"/>
          </w:tcPr>
          <w:p>
            <w:pPr>
              <w:ind w:firstLine="0" w:firstLineChars="0"/>
            </w:pPr>
          </w:p>
        </w:tc>
        <w:tc>
          <w:tcPr>
            <w:tcW w:w="755"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74" w:type="dxa"/>
            <w:vMerge w:val="continue"/>
            <w:vAlign w:val="center"/>
          </w:tcPr>
          <w:p>
            <w:pPr>
              <w:ind w:firstLine="0" w:firstLineChars="0"/>
            </w:pPr>
          </w:p>
        </w:tc>
        <w:tc>
          <w:tcPr>
            <w:tcW w:w="972" w:type="dxa"/>
            <w:vAlign w:val="center"/>
          </w:tcPr>
          <w:p>
            <w:pPr>
              <w:ind w:firstLine="0" w:firstLineChars="0"/>
              <w:jc w:val="center"/>
            </w:pPr>
            <w:r>
              <w:t>3</w:t>
            </w:r>
          </w:p>
        </w:tc>
        <w:tc>
          <w:tcPr>
            <w:tcW w:w="918" w:type="dxa"/>
            <w:vAlign w:val="center"/>
          </w:tcPr>
          <w:p>
            <w:pPr>
              <w:ind w:firstLine="0" w:firstLineChars="0"/>
            </w:pPr>
            <w:r>
              <w:rPr>
                <w:rFonts w:hint="eastAsia"/>
              </w:rPr>
              <w:t>0.537</w:t>
            </w:r>
          </w:p>
        </w:tc>
        <w:tc>
          <w:tcPr>
            <w:tcW w:w="845" w:type="dxa"/>
            <w:vAlign w:val="center"/>
          </w:tcPr>
          <w:p>
            <w:pPr>
              <w:ind w:firstLine="0" w:firstLineChars="0"/>
            </w:pPr>
            <w:r>
              <w:rPr>
                <w:rFonts w:hint="eastAsia"/>
              </w:rPr>
              <w:t>0.564</w:t>
            </w:r>
          </w:p>
        </w:tc>
        <w:tc>
          <w:tcPr>
            <w:tcW w:w="923" w:type="dxa"/>
            <w:vAlign w:val="center"/>
          </w:tcPr>
          <w:p>
            <w:pPr>
              <w:ind w:firstLine="0" w:firstLineChars="0"/>
            </w:pPr>
            <w:r>
              <w:rPr>
                <w:rFonts w:hint="eastAsia"/>
              </w:rPr>
              <w:t>0.557</w:t>
            </w:r>
          </w:p>
        </w:tc>
        <w:tc>
          <w:tcPr>
            <w:tcW w:w="844" w:type="dxa"/>
            <w:vAlign w:val="center"/>
          </w:tcPr>
          <w:p>
            <w:pPr>
              <w:ind w:firstLine="0" w:firstLineChars="0"/>
            </w:pPr>
            <w:r>
              <w:rPr>
                <w:rFonts w:hint="eastAsia"/>
              </w:rPr>
              <w:t>0.499</w:t>
            </w:r>
          </w:p>
        </w:tc>
        <w:tc>
          <w:tcPr>
            <w:tcW w:w="986" w:type="dxa"/>
            <w:vMerge w:val="continue"/>
            <w:vAlign w:val="center"/>
          </w:tcPr>
          <w:p>
            <w:pPr>
              <w:ind w:firstLine="0" w:firstLineChars="0"/>
            </w:pPr>
          </w:p>
        </w:tc>
        <w:tc>
          <w:tcPr>
            <w:tcW w:w="1704" w:type="dxa"/>
            <w:vMerge w:val="continue"/>
            <w:vAlign w:val="center"/>
          </w:tcPr>
          <w:p>
            <w:pPr>
              <w:ind w:firstLine="0" w:firstLineChars="0"/>
            </w:pPr>
          </w:p>
        </w:tc>
        <w:tc>
          <w:tcPr>
            <w:tcW w:w="755"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74" w:type="dxa"/>
            <w:vMerge w:val="continue"/>
            <w:vAlign w:val="center"/>
          </w:tcPr>
          <w:p>
            <w:pPr>
              <w:ind w:firstLine="0" w:firstLineChars="0"/>
            </w:pPr>
          </w:p>
        </w:tc>
        <w:tc>
          <w:tcPr>
            <w:tcW w:w="972" w:type="dxa"/>
            <w:vAlign w:val="center"/>
          </w:tcPr>
          <w:p>
            <w:pPr>
              <w:ind w:firstLine="0" w:firstLineChars="0"/>
              <w:jc w:val="center"/>
            </w:pPr>
            <w:r>
              <w:t>4</w:t>
            </w:r>
          </w:p>
        </w:tc>
        <w:tc>
          <w:tcPr>
            <w:tcW w:w="918" w:type="dxa"/>
            <w:vAlign w:val="center"/>
          </w:tcPr>
          <w:p>
            <w:pPr>
              <w:ind w:firstLine="0" w:firstLineChars="0"/>
            </w:pPr>
            <w:r>
              <w:rPr>
                <w:rFonts w:hint="eastAsia"/>
              </w:rPr>
              <w:t>0.633</w:t>
            </w:r>
          </w:p>
        </w:tc>
        <w:tc>
          <w:tcPr>
            <w:tcW w:w="845" w:type="dxa"/>
            <w:vAlign w:val="center"/>
          </w:tcPr>
          <w:p>
            <w:pPr>
              <w:ind w:firstLine="0" w:firstLineChars="0"/>
            </w:pPr>
            <w:r>
              <w:rPr>
                <w:rFonts w:hint="eastAsia"/>
              </w:rPr>
              <w:t>0.554</w:t>
            </w:r>
          </w:p>
        </w:tc>
        <w:tc>
          <w:tcPr>
            <w:tcW w:w="923" w:type="dxa"/>
            <w:vAlign w:val="center"/>
          </w:tcPr>
          <w:p>
            <w:pPr>
              <w:ind w:firstLine="0" w:firstLineChars="0"/>
            </w:pPr>
            <w:r>
              <w:rPr>
                <w:rFonts w:hint="eastAsia"/>
              </w:rPr>
              <w:t>0.595</w:t>
            </w:r>
          </w:p>
        </w:tc>
        <w:tc>
          <w:tcPr>
            <w:tcW w:w="844" w:type="dxa"/>
            <w:vAlign w:val="center"/>
          </w:tcPr>
          <w:p>
            <w:pPr>
              <w:ind w:firstLine="0" w:firstLineChars="0"/>
            </w:pPr>
            <w:r>
              <w:rPr>
                <w:rFonts w:hint="eastAsia"/>
              </w:rPr>
              <w:t>0.518</w:t>
            </w:r>
          </w:p>
        </w:tc>
        <w:tc>
          <w:tcPr>
            <w:tcW w:w="986" w:type="dxa"/>
            <w:vMerge w:val="continue"/>
            <w:vAlign w:val="center"/>
          </w:tcPr>
          <w:p>
            <w:pPr>
              <w:ind w:firstLine="0" w:firstLineChars="0"/>
            </w:pPr>
          </w:p>
        </w:tc>
        <w:tc>
          <w:tcPr>
            <w:tcW w:w="1704" w:type="dxa"/>
            <w:vMerge w:val="continue"/>
            <w:vAlign w:val="center"/>
          </w:tcPr>
          <w:p>
            <w:pPr>
              <w:ind w:firstLine="0" w:firstLineChars="0"/>
            </w:pPr>
          </w:p>
        </w:tc>
        <w:tc>
          <w:tcPr>
            <w:tcW w:w="755"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74" w:type="dxa"/>
            <w:vMerge w:val="restart"/>
            <w:vAlign w:val="center"/>
          </w:tcPr>
          <w:p>
            <w:pPr>
              <w:ind w:firstLine="0" w:firstLineChars="0"/>
            </w:pPr>
            <w:r>
              <w:rPr>
                <w:rFonts w:hint="eastAsia"/>
              </w:rPr>
              <w:t>12月</w:t>
            </w:r>
          </w:p>
          <w:p>
            <w:pPr>
              <w:ind w:firstLine="0" w:firstLineChars="0"/>
            </w:pPr>
            <w:r>
              <w:rPr>
                <w:rFonts w:hint="eastAsia"/>
              </w:rPr>
              <w:t>21日</w:t>
            </w:r>
          </w:p>
        </w:tc>
        <w:tc>
          <w:tcPr>
            <w:tcW w:w="972" w:type="dxa"/>
            <w:vAlign w:val="center"/>
          </w:tcPr>
          <w:p>
            <w:pPr>
              <w:ind w:firstLine="0" w:firstLineChars="0"/>
              <w:jc w:val="center"/>
            </w:pPr>
            <w:r>
              <w:t>1</w:t>
            </w:r>
          </w:p>
        </w:tc>
        <w:tc>
          <w:tcPr>
            <w:tcW w:w="918" w:type="dxa"/>
            <w:vAlign w:val="center"/>
          </w:tcPr>
          <w:p>
            <w:pPr>
              <w:ind w:firstLine="0" w:firstLineChars="0"/>
            </w:pPr>
            <w:r>
              <w:rPr>
                <w:rFonts w:hint="eastAsia"/>
              </w:rPr>
              <w:t>0.592</w:t>
            </w:r>
          </w:p>
        </w:tc>
        <w:tc>
          <w:tcPr>
            <w:tcW w:w="845" w:type="dxa"/>
            <w:vAlign w:val="center"/>
          </w:tcPr>
          <w:p>
            <w:pPr>
              <w:ind w:firstLine="0" w:firstLineChars="0"/>
            </w:pPr>
            <w:r>
              <w:rPr>
                <w:rFonts w:hint="eastAsia"/>
              </w:rPr>
              <w:t>0.575</w:t>
            </w:r>
          </w:p>
        </w:tc>
        <w:tc>
          <w:tcPr>
            <w:tcW w:w="923" w:type="dxa"/>
            <w:vAlign w:val="center"/>
          </w:tcPr>
          <w:p>
            <w:pPr>
              <w:ind w:firstLine="0" w:firstLineChars="0"/>
            </w:pPr>
            <w:r>
              <w:rPr>
                <w:rFonts w:hint="eastAsia"/>
              </w:rPr>
              <w:t>0.618</w:t>
            </w:r>
          </w:p>
        </w:tc>
        <w:tc>
          <w:tcPr>
            <w:tcW w:w="844" w:type="dxa"/>
            <w:vAlign w:val="center"/>
          </w:tcPr>
          <w:p>
            <w:pPr>
              <w:ind w:firstLine="0" w:firstLineChars="0"/>
            </w:pPr>
            <w:r>
              <w:rPr>
                <w:rFonts w:hint="eastAsia"/>
              </w:rPr>
              <w:t>0.470</w:t>
            </w:r>
          </w:p>
        </w:tc>
        <w:tc>
          <w:tcPr>
            <w:tcW w:w="986" w:type="dxa"/>
            <w:vMerge w:val="restart"/>
            <w:vAlign w:val="center"/>
          </w:tcPr>
          <w:p>
            <w:pPr>
              <w:ind w:firstLine="0" w:firstLineChars="0"/>
            </w:pPr>
            <w:r>
              <w:rPr>
                <w:rFonts w:hint="eastAsia"/>
              </w:rPr>
              <w:t>0.633</w:t>
            </w:r>
          </w:p>
        </w:tc>
        <w:tc>
          <w:tcPr>
            <w:tcW w:w="1704" w:type="dxa"/>
            <w:vMerge w:val="continue"/>
            <w:vAlign w:val="center"/>
          </w:tcPr>
          <w:p>
            <w:pPr>
              <w:ind w:firstLine="0" w:firstLineChars="0"/>
            </w:pPr>
          </w:p>
        </w:tc>
        <w:tc>
          <w:tcPr>
            <w:tcW w:w="755"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74" w:type="dxa"/>
            <w:vMerge w:val="continue"/>
            <w:vAlign w:val="center"/>
          </w:tcPr>
          <w:p>
            <w:pPr>
              <w:ind w:firstLine="0" w:firstLineChars="0"/>
            </w:pPr>
          </w:p>
        </w:tc>
        <w:tc>
          <w:tcPr>
            <w:tcW w:w="972" w:type="dxa"/>
            <w:vAlign w:val="center"/>
          </w:tcPr>
          <w:p>
            <w:pPr>
              <w:ind w:firstLine="0" w:firstLineChars="0"/>
              <w:jc w:val="center"/>
            </w:pPr>
            <w:r>
              <w:t>2</w:t>
            </w:r>
          </w:p>
        </w:tc>
        <w:tc>
          <w:tcPr>
            <w:tcW w:w="918" w:type="dxa"/>
            <w:vAlign w:val="center"/>
          </w:tcPr>
          <w:p>
            <w:pPr>
              <w:ind w:firstLine="0" w:firstLineChars="0"/>
            </w:pPr>
            <w:r>
              <w:rPr>
                <w:rFonts w:hint="eastAsia"/>
              </w:rPr>
              <w:t>0.537</w:t>
            </w:r>
          </w:p>
        </w:tc>
        <w:tc>
          <w:tcPr>
            <w:tcW w:w="845" w:type="dxa"/>
            <w:vAlign w:val="center"/>
          </w:tcPr>
          <w:p>
            <w:pPr>
              <w:ind w:firstLine="0" w:firstLineChars="0"/>
            </w:pPr>
            <w:r>
              <w:rPr>
                <w:rFonts w:hint="eastAsia"/>
              </w:rPr>
              <w:t>0.557</w:t>
            </w:r>
          </w:p>
        </w:tc>
        <w:tc>
          <w:tcPr>
            <w:tcW w:w="923" w:type="dxa"/>
            <w:vAlign w:val="center"/>
          </w:tcPr>
          <w:p>
            <w:pPr>
              <w:ind w:firstLine="0" w:firstLineChars="0"/>
            </w:pPr>
            <w:r>
              <w:rPr>
                <w:rFonts w:hint="eastAsia"/>
              </w:rPr>
              <w:t>0.565</w:t>
            </w:r>
          </w:p>
        </w:tc>
        <w:tc>
          <w:tcPr>
            <w:tcW w:w="844" w:type="dxa"/>
            <w:vAlign w:val="center"/>
          </w:tcPr>
          <w:p>
            <w:pPr>
              <w:ind w:firstLine="0" w:firstLineChars="0"/>
            </w:pPr>
            <w:r>
              <w:rPr>
                <w:rFonts w:hint="eastAsia"/>
              </w:rPr>
              <w:t>0.519</w:t>
            </w:r>
          </w:p>
        </w:tc>
        <w:tc>
          <w:tcPr>
            <w:tcW w:w="986" w:type="dxa"/>
            <w:vMerge w:val="continue"/>
            <w:vAlign w:val="center"/>
          </w:tcPr>
          <w:p>
            <w:pPr>
              <w:ind w:firstLine="0" w:firstLineChars="0"/>
            </w:pPr>
          </w:p>
        </w:tc>
        <w:tc>
          <w:tcPr>
            <w:tcW w:w="1704" w:type="dxa"/>
            <w:vMerge w:val="continue"/>
            <w:vAlign w:val="center"/>
          </w:tcPr>
          <w:p>
            <w:pPr>
              <w:ind w:firstLine="0" w:firstLineChars="0"/>
            </w:pPr>
          </w:p>
        </w:tc>
        <w:tc>
          <w:tcPr>
            <w:tcW w:w="755"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74" w:type="dxa"/>
            <w:vMerge w:val="continue"/>
            <w:vAlign w:val="center"/>
          </w:tcPr>
          <w:p>
            <w:pPr>
              <w:ind w:firstLine="0" w:firstLineChars="0"/>
            </w:pPr>
          </w:p>
        </w:tc>
        <w:tc>
          <w:tcPr>
            <w:tcW w:w="972" w:type="dxa"/>
            <w:vAlign w:val="center"/>
          </w:tcPr>
          <w:p>
            <w:pPr>
              <w:ind w:firstLine="0" w:firstLineChars="0"/>
              <w:jc w:val="center"/>
            </w:pPr>
            <w:r>
              <w:t>3</w:t>
            </w:r>
          </w:p>
        </w:tc>
        <w:tc>
          <w:tcPr>
            <w:tcW w:w="918" w:type="dxa"/>
            <w:vAlign w:val="center"/>
          </w:tcPr>
          <w:p>
            <w:pPr>
              <w:ind w:firstLine="0" w:firstLineChars="0"/>
            </w:pPr>
            <w:r>
              <w:rPr>
                <w:rFonts w:hint="eastAsia"/>
              </w:rPr>
              <w:t>0.508</w:t>
            </w:r>
          </w:p>
        </w:tc>
        <w:tc>
          <w:tcPr>
            <w:tcW w:w="845" w:type="dxa"/>
            <w:vAlign w:val="center"/>
          </w:tcPr>
          <w:p>
            <w:pPr>
              <w:ind w:firstLine="0" w:firstLineChars="0"/>
            </w:pPr>
            <w:r>
              <w:rPr>
                <w:rFonts w:hint="eastAsia"/>
              </w:rPr>
              <w:t>0.499</w:t>
            </w:r>
          </w:p>
        </w:tc>
        <w:tc>
          <w:tcPr>
            <w:tcW w:w="923" w:type="dxa"/>
            <w:vAlign w:val="center"/>
          </w:tcPr>
          <w:p>
            <w:pPr>
              <w:ind w:firstLine="0" w:firstLineChars="0"/>
            </w:pPr>
            <w:r>
              <w:rPr>
                <w:rFonts w:hint="eastAsia"/>
              </w:rPr>
              <w:t>0.633</w:t>
            </w:r>
          </w:p>
        </w:tc>
        <w:tc>
          <w:tcPr>
            <w:tcW w:w="844" w:type="dxa"/>
            <w:vAlign w:val="center"/>
          </w:tcPr>
          <w:p>
            <w:pPr>
              <w:ind w:firstLine="0" w:firstLineChars="0"/>
            </w:pPr>
            <w:r>
              <w:rPr>
                <w:rFonts w:hint="eastAsia"/>
              </w:rPr>
              <w:t>0.498</w:t>
            </w:r>
          </w:p>
        </w:tc>
        <w:tc>
          <w:tcPr>
            <w:tcW w:w="986" w:type="dxa"/>
            <w:vMerge w:val="continue"/>
            <w:vAlign w:val="center"/>
          </w:tcPr>
          <w:p>
            <w:pPr>
              <w:ind w:firstLine="0" w:firstLineChars="0"/>
            </w:pPr>
          </w:p>
        </w:tc>
        <w:tc>
          <w:tcPr>
            <w:tcW w:w="1704" w:type="dxa"/>
            <w:vMerge w:val="continue"/>
            <w:vAlign w:val="center"/>
          </w:tcPr>
          <w:p>
            <w:pPr>
              <w:ind w:firstLine="0" w:firstLineChars="0"/>
            </w:pPr>
          </w:p>
        </w:tc>
        <w:tc>
          <w:tcPr>
            <w:tcW w:w="755" w:type="dxa"/>
            <w:vMerge w:val="continue"/>
            <w:vAlign w:val="center"/>
          </w:tcPr>
          <w:p>
            <w:pPr>
              <w:ind w:firstLine="0" w:firstLineChars="0"/>
            </w:pPr>
          </w:p>
        </w:tc>
      </w:tr>
      <w:tr>
        <w:tblPrEx>
          <w:tblLayout w:type="fixed"/>
          <w:tblCellMar>
            <w:top w:w="0" w:type="dxa"/>
            <w:left w:w="108" w:type="dxa"/>
            <w:bottom w:w="0" w:type="dxa"/>
            <w:right w:w="108" w:type="dxa"/>
          </w:tblCellMar>
        </w:tblPrEx>
        <w:trPr>
          <w:trHeight w:val="386" w:hRule="atLeast"/>
        </w:trPr>
        <w:tc>
          <w:tcPr>
            <w:tcW w:w="574" w:type="dxa"/>
            <w:vMerge w:val="continue"/>
            <w:vAlign w:val="center"/>
          </w:tcPr>
          <w:p>
            <w:pPr>
              <w:ind w:firstLine="0" w:firstLineChars="0"/>
            </w:pPr>
          </w:p>
        </w:tc>
        <w:tc>
          <w:tcPr>
            <w:tcW w:w="972" w:type="dxa"/>
            <w:vAlign w:val="center"/>
          </w:tcPr>
          <w:p>
            <w:pPr>
              <w:ind w:firstLine="0" w:firstLineChars="0"/>
              <w:jc w:val="center"/>
            </w:pPr>
            <w:r>
              <w:t>4</w:t>
            </w:r>
          </w:p>
        </w:tc>
        <w:tc>
          <w:tcPr>
            <w:tcW w:w="918" w:type="dxa"/>
            <w:vAlign w:val="center"/>
          </w:tcPr>
          <w:p>
            <w:pPr>
              <w:ind w:firstLine="0" w:firstLineChars="0"/>
            </w:pPr>
            <w:r>
              <w:rPr>
                <w:rFonts w:hint="eastAsia"/>
              </w:rPr>
              <w:t>0.557</w:t>
            </w:r>
          </w:p>
        </w:tc>
        <w:tc>
          <w:tcPr>
            <w:tcW w:w="845" w:type="dxa"/>
            <w:vAlign w:val="center"/>
          </w:tcPr>
          <w:p>
            <w:pPr>
              <w:ind w:firstLine="0" w:firstLineChars="0"/>
            </w:pPr>
            <w:r>
              <w:rPr>
                <w:rFonts w:hint="eastAsia"/>
              </w:rPr>
              <w:t>0.537</w:t>
            </w:r>
          </w:p>
        </w:tc>
        <w:tc>
          <w:tcPr>
            <w:tcW w:w="923" w:type="dxa"/>
            <w:vAlign w:val="center"/>
          </w:tcPr>
          <w:p>
            <w:pPr>
              <w:ind w:firstLine="0" w:firstLineChars="0"/>
            </w:pPr>
            <w:r>
              <w:rPr>
                <w:rFonts w:hint="eastAsia"/>
              </w:rPr>
              <w:t>0.546</w:t>
            </w:r>
          </w:p>
        </w:tc>
        <w:tc>
          <w:tcPr>
            <w:tcW w:w="844" w:type="dxa"/>
            <w:vAlign w:val="center"/>
          </w:tcPr>
          <w:p>
            <w:pPr>
              <w:ind w:firstLine="0" w:firstLineChars="0"/>
            </w:pPr>
            <w:r>
              <w:rPr>
                <w:rFonts w:hint="eastAsia"/>
              </w:rPr>
              <w:t>0.499</w:t>
            </w:r>
          </w:p>
        </w:tc>
        <w:tc>
          <w:tcPr>
            <w:tcW w:w="986" w:type="dxa"/>
            <w:vMerge w:val="continue"/>
            <w:vAlign w:val="center"/>
          </w:tcPr>
          <w:p>
            <w:pPr>
              <w:ind w:firstLine="0" w:firstLineChars="0"/>
            </w:pPr>
          </w:p>
        </w:tc>
        <w:tc>
          <w:tcPr>
            <w:tcW w:w="1704" w:type="dxa"/>
            <w:vMerge w:val="continue"/>
            <w:vAlign w:val="center"/>
          </w:tcPr>
          <w:p>
            <w:pPr>
              <w:ind w:firstLine="0" w:firstLineChars="0"/>
            </w:pPr>
          </w:p>
        </w:tc>
        <w:tc>
          <w:tcPr>
            <w:tcW w:w="755" w:type="dxa"/>
            <w:vMerge w:val="continue"/>
            <w:vAlign w:val="center"/>
          </w:tcPr>
          <w:p>
            <w:pPr>
              <w:ind w:firstLine="0" w:firstLineChars="0"/>
            </w:pPr>
          </w:p>
        </w:tc>
      </w:tr>
    </w:tbl>
    <w:p/>
    <w:p>
      <w:pPr>
        <w:rPr>
          <w:rFonts w:ascii="宋体" w:hAnsi="宋体" w:cs="宋体"/>
        </w:rPr>
      </w:pPr>
      <w:bookmarkStart w:id="50" w:name="_Toc8897"/>
      <w:r>
        <w:rPr>
          <w:rFonts w:hint="eastAsia"/>
        </w:rPr>
        <w:t>厂周界无组织排放各监测点经2天监测，颗粒物排放浓度最大值为0.638mg/m</w:t>
      </w:r>
      <w:r>
        <w:rPr>
          <w:rFonts w:hint="eastAsia"/>
          <w:vertAlign w:val="superscript"/>
        </w:rPr>
        <w:t>3</w:t>
      </w:r>
      <w:r>
        <w:rPr>
          <w:rFonts w:hint="eastAsia"/>
        </w:rPr>
        <w:t>，低于《大气污染物综合排放标准》( GB16297-1996)表2二级标准中颗粒物无组织排放浓度限值要求。</w:t>
      </w:r>
    </w:p>
    <w:p>
      <w:pPr>
        <w:pStyle w:val="3"/>
      </w:pPr>
      <w:bookmarkStart w:id="51" w:name="_Toc505550608"/>
      <w:r>
        <w:rPr>
          <w:rFonts w:hint="eastAsia"/>
        </w:rPr>
        <w:t>9</w:t>
      </w:r>
      <w:r>
        <w:t>.</w:t>
      </w:r>
      <w:r>
        <w:rPr>
          <w:rFonts w:hint="eastAsia"/>
        </w:rPr>
        <w:t>3</w:t>
      </w:r>
      <w:r>
        <w:t xml:space="preserve"> 噪声检测结果</w:t>
      </w:r>
      <w:bookmarkEnd w:id="50"/>
      <w:bookmarkEnd w:id="51"/>
    </w:p>
    <w:p>
      <w:r>
        <w:t>噪声检测结果见下表。</w:t>
      </w:r>
    </w:p>
    <w:p>
      <w:bookmarkStart w:id="52" w:name="_Toc30606"/>
      <w:r>
        <w:rPr>
          <w:rFonts w:hint="eastAsia"/>
        </w:rPr>
        <w:t>表9</w:t>
      </w:r>
      <w:r>
        <w:t>-</w:t>
      </w:r>
      <w:r>
        <w:rPr>
          <w:rFonts w:hint="eastAsia"/>
        </w:rPr>
        <w:t>3噪声监测结果</w:t>
      </w:r>
    </w:p>
    <w:tbl>
      <w:tblPr>
        <w:tblStyle w:val="27"/>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702"/>
        <w:gridCol w:w="2933"/>
        <w:gridCol w:w="3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737" w:type="dxa"/>
            <w:vMerge w:val="restart"/>
            <w:vAlign w:val="center"/>
          </w:tcPr>
          <w:p>
            <w:pPr>
              <w:ind w:firstLine="0" w:firstLineChars="0"/>
            </w:pPr>
            <w:r>
              <w:rPr>
                <w:rFonts w:hint="eastAsia"/>
              </w:rPr>
              <w:t>监测</w:t>
            </w:r>
          </w:p>
          <w:p>
            <w:pPr>
              <w:ind w:firstLine="0" w:firstLineChars="0"/>
            </w:pPr>
            <w:r>
              <w:rPr>
                <w:rFonts w:hint="eastAsia"/>
              </w:rPr>
              <w:t>点位</w:t>
            </w:r>
          </w:p>
        </w:tc>
        <w:tc>
          <w:tcPr>
            <w:tcW w:w="1702" w:type="dxa"/>
            <w:vMerge w:val="restart"/>
            <w:vAlign w:val="center"/>
          </w:tcPr>
          <w:p>
            <w:pPr>
              <w:ind w:firstLine="0" w:firstLineChars="0"/>
            </w:pPr>
            <w:r>
              <w:rPr>
                <w:rFonts w:hint="eastAsia"/>
              </w:rPr>
              <w:t>测点位置</w:t>
            </w:r>
          </w:p>
        </w:tc>
        <w:tc>
          <w:tcPr>
            <w:tcW w:w="2933" w:type="dxa"/>
            <w:vAlign w:val="center"/>
          </w:tcPr>
          <w:p>
            <w:pPr>
              <w:ind w:firstLine="0" w:firstLineChars="0"/>
              <w:jc w:val="center"/>
            </w:pPr>
            <w:r>
              <w:rPr>
                <w:rFonts w:hint="eastAsia"/>
              </w:rPr>
              <w:t>12月20日</w:t>
            </w:r>
          </w:p>
        </w:tc>
        <w:tc>
          <w:tcPr>
            <w:tcW w:w="3146" w:type="dxa"/>
            <w:vAlign w:val="center"/>
          </w:tcPr>
          <w:p>
            <w:pPr>
              <w:ind w:firstLine="0" w:firstLineChars="0"/>
              <w:jc w:val="center"/>
            </w:pPr>
            <w:r>
              <w:rPr>
                <w:rFonts w:hint="eastAsia"/>
              </w:rPr>
              <w:t>12月21日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737" w:type="dxa"/>
            <w:vMerge w:val="continue"/>
            <w:vAlign w:val="center"/>
          </w:tcPr>
          <w:p>
            <w:pPr>
              <w:ind w:firstLine="0" w:firstLineChars="0"/>
            </w:pPr>
          </w:p>
        </w:tc>
        <w:tc>
          <w:tcPr>
            <w:tcW w:w="1702" w:type="dxa"/>
            <w:vMerge w:val="continue"/>
            <w:vAlign w:val="center"/>
          </w:tcPr>
          <w:p>
            <w:pPr>
              <w:ind w:firstLine="0" w:firstLineChars="0"/>
            </w:pPr>
          </w:p>
        </w:tc>
        <w:tc>
          <w:tcPr>
            <w:tcW w:w="2933" w:type="dxa"/>
            <w:vAlign w:val="center"/>
          </w:tcPr>
          <w:p>
            <w:pPr>
              <w:ind w:firstLine="0" w:firstLineChars="0"/>
              <w:jc w:val="center"/>
            </w:pPr>
            <w:r>
              <w:rPr>
                <w:rFonts w:hint="eastAsia"/>
              </w:rPr>
              <w:t>昼间</w:t>
            </w:r>
            <w:r>
              <w:t>dB</w:t>
            </w:r>
            <w:r>
              <w:rPr>
                <w:rFonts w:hint="eastAsia"/>
              </w:rPr>
              <w:t>（</w:t>
            </w:r>
            <w:r>
              <w:t>A</w:t>
            </w:r>
            <w:r>
              <w:rPr>
                <w:rFonts w:hint="eastAsia"/>
              </w:rPr>
              <w:t>）</w:t>
            </w:r>
          </w:p>
        </w:tc>
        <w:tc>
          <w:tcPr>
            <w:tcW w:w="3146" w:type="dxa"/>
            <w:vAlign w:val="center"/>
          </w:tcPr>
          <w:p>
            <w:pPr>
              <w:ind w:firstLine="0" w:firstLineChars="0"/>
              <w:jc w:val="center"/>
            </w:pPr>
            <w:r>
              <w:rPr>
                <w:rFonts w:hint="eastAsia"/>
              </w:rPr>
              <w:t>昼间</w:t>
            </w:r>
            <w:r>
              <w:t>dB</w:t>
            </w:r>
            <w:r>
              <w:rPr>
                <w:rFonts w:hint="eastAsia"/>
              </w:rPr>
              <w:t>（</w:t>
            </w:r>
            <w:r>
              <w:t>A</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ind w:firstLine="0" w:firstLineChars="0"/>
            </w:pPr>
            <w:r>
              <w:t>1#</w:t>
            </w:r>
          </w:p>
        </w:tc>
        <w:tc>
          <w:tcPr>
            <w:tcW w:w="1702" w:type="dxa"/>
            <w:vAlign w:val="center"/>
          </w:tcPr>
          <w:p>
            <w:pPr>
              <w:ind w:firstLine="0" w:firstLineChars="0"/>
            </w:pPr>
            <w:r>
              <w:rPr>
                <w:rFonts w:hint="eastAsia"/>
              </w:rPr>
              <w:t>北厂界外一米</w:t>
            </w:r>
          </w:p>
        </w:tc>
        <w:tc>
          <w:tcPr>
            <w:tcW w:w="2933" w:type="dxa"/>
            <w:vAlign w:val="center"/>
          </w:tcPr>
          <w:p>
            <w:pPr>
              <w:ind w:firstLine="0" w:firstLineChars="0"/>
              <w:jc w:val="center"/>
            </w:pPr>
            <w:r>
              <w:rPr>
                <w:rFonts w:hint="eastAsia"/>
              </w:rPr>
              <w:t>54.9</w:t>
            </w:r>
          </w:p>
        </w:tc>
        <w:tc>
          <w:tcPr>
            <w:tcW w:w="3146" w:type="dxa"/>
            <w:vAlign w:val="center"/>
          </w:tcPr>
          <w:p>
            <w:pPr>
              <w:ind w:firstLine="0" w:firstLineChars="0"/>
              <w:jc w:val="center"/>
            </w:pPr>
            <w:r>
              <w:rPr>
                <w:rFonts w:hint="eastAsia"/>
              </w:rPr>
              <w:t>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ind w:firstLine="0" w:firstLineChars="0"/>
            </w:pPr>
            <w:r>
              <w:t>2#</w:t>
            </w:r>
          </w:p>
        </w:tc>
        <w:tc>
          <w:tcPr>
            <w:tcW w:w="1702" w:type="dxa"/>
            <w:vAlign w:val="center"/>
          </w:tcPr>
          <w:p>
            <w:pPr>
              <w:ind w:firstLine="0" w:firstLineChars="0"/>
            </w:pPr>
            <w:r>
              <w:rPr>
                <w:rFonts w:hint="eastAsia"/>
              </w:rPr>
              <w:t>东厂界外一米</w:t>
            </w:r>
          </w:p>
        </w:tc>
        <w:tc>
          <w:tcPr>
            <w:tcW w:w="2933" w:type="dxa"/>
            <w:vAlign w:val="center"/>
          </w:tcPr>
          <w:p>
            <w:pPr>
              <w:ind w:firstLine="0" w:firstLineChars="0"/>
              <w:jc w:val="center"/>
            </w:pPr>
            <w:r>
              <w:rPr>
                <w:rFonts w:hint="eastAsia"/>
              </w:rPr>
              <w:t>54.9</w:t>
            </w:r>
          </w:p>
        </w:tc>
        <w:tc>
          <w:tcPr>
            <w:tcW w:w="3146" w:type="dxa"/>
            <w:vAlign w:val="center"/>
          </w:tcPr>
          <w:p>
            <w:pPr>
              <w:ind w:firstLine="0" w:firstLineChars="0"/>
              <w:jc w:val="center"/>
            </w:pPr>
            <w:r>
              <w:rPr>
                <w:rFonts w:hint="eastAsia"/>
              </w:rPr>
              <w:t>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ind w:firstLine="0" w:firstLineChars="0"/>
            </w:pPr>
            <w:r>
              <w:t>3#</w:t>
            </w:r>
          </w:p>
        </w:tc>
        <w:tc>
          <w:tcPr>
            <w:tcW w:w="1702" w:type="dxa"/>
            <w:vAlign w:val="center"/>
          </w:tcPr>
          <w:p>
            <w:pPr>
              <w:ind w:firstLine="0" w:firstLineChars="0"/>
            </w:pPr>
            <w:r>
              <w:rPr>
                <w:rFonts w:hint="eastAsia"/>
              </w:rPr>
              <w:t>南厂界外一米</w:t>
            </w:r>
          </w:p>
        </w:tc>
        <w:tc>
          <w:tcPr>
            <w:tcW w:w="2933" w:type="dxa"/>
            <w:vAlign w:val="center"/>
          </w:tcPr>
          <w:p>
            <w:pPr>
              <w:ind w:firstLine="0" w:firstLineChars="0"/>
              <w:jc w:val="center"/>
            </w:pPr>
            <w:r>
              <w:rPr>
                <w:rFonts w:hint="eastAsia"/>
              </w:rPr>
              <w:t>54.6</w:t>
            </w:r>
          </w:p>
        </w:tc>
        <w:tc>
          <w:tcPr>
            <w:tcW w:w="3146" w:type="dxa"/>
            <w:vAlign w:val="center"/>
          </w:tcPr>
          <w:p>
            <w:pPr>
              <w:ind w:firstLine="0" w:firstLineChars="0"/>
              <w:jc w:val="center"/>
            </w:pPr>
            <w:r>
              <w:rPr>
                <w:rFonts w:hint="eastAsia"/>
              </w:rPr>
              <w:t>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ind w:firstLine="0" w:firstLineChars="0"/>
            </w:pPr>
            <w:r>
              <w:t>4#</w:t>
            </w:r>
          </w:p>
        </w:tc>
        <w:tc>
          <w:tcPr>
            <w:tcW w:w="1702" w:type="dxa"/>
            <w:vAlign w:val="center"/>
          </w:tcPr>
          <w:p>
            <w:pPr>
              <w:ind w:firstLine="0" w:firstLineChars="0"/>
            </w:pPr>
            <w:r>
              <w:rPr>
                <w:rFonts w:hint="eastAsia"/>
              </w:rPr>
              <w:t>西厂界外一米</w:t>
            </w:r>
          </w:p>
        </w:tc>
        <w:tc>
          <w:tcPr>
            <w:tcW w:w="2933" w:type="dxa"/>
            <w:vAlign w:val="center"/>
          </w:tcPr>
          <w:p>
            <w:pPr>
              <w:ind w:firstLine="0" w:firstLineChars="0"/>
              <w:jc w:val="center"/>
            </w:pPr>
            <w:r>
              <w:rPr>
                <w:rFonts w:hint="eastAsia"/>
              </w:rPr>
              <w:t>59.7</w:t>
            </w:r>
          </w:p>
        </w:tc>
        <w:tc>
          <w:tcPr>
            <w:tcW w:w="3146" w:type="dxa"/>
            <w:vAlign w:val="center"/>
          </w:tcPr>
          <w:p>
            <w:pPr>
              <w:ind w:firstLine="0" w:firstLineChars="0"/>
              <w:jc w:val="center"/>
            </w:pPr>
            <w:r>
              <w:rPr>
                <w:rFonts w:hint="eastAsia"/>
              </w:rPr>
              <w:t>58.2</w:t>
            </w:r>
          </w:p>
        </w:tc>
      </w:tr>
    </w:tbl>
    <w:p>
      <w:r>
        <w:rPr>
          <w:rFonts w:hint="eastAsia"/>
        </w:rPr>
        <w:t>本项目厂界环境主要受交通及生产的影响，西、东、北、南厂界昼间噪声值范围在54.6</w:t>
      </w:r>
      <w:r>
        <w:t>dB</w:t>
      </w:r>
      <w:r>
        <w:rPr>
          <w:rFonts w:hint="eastAsia"/>
        </w:rPr>
        <w:t>（</w:t>
      </w:r>
      <w:r>
        <w:t>A</w:t>
      </w:r>
      <w:r>
        <w:rPr>
          <w:rFonts w:hint="eastAsia"/>
        </w:rPr>
        <w:t>）～59.7</w:t>
      </w:r>
      <w:r>
        <w:t>dB</w:t>
      </w:r>
      <w:r>
        <w:rPr>
          <w:rFonts w:hint="eastAsia"/>
        </w:rPr>
        <w:t>（</w:t>
      </w:r>
      <w:r>
        <w:t>A</w:t>
      </w:r>
      <w:r>
        <w:rPr>
          <w:rFonts w:hint="eastAsia"/>
        </w:rPr>
        <w:t>）之间，满足《工业企业厂界环境噪声排放标准》（</w:t>
      </w:r>
      <w:r>
        <w:t>GB12348-2008</w:t>
      </w:r>
      <w:r>
        <w:rPr>
          <w:rFonts w:hint="eastAsia"/>
        </w:rPr>
        <w:t>）中2类标准限值要求。</w:t>
      </w:r>
    </w:p>
    <w:p>
      <w:pPr>
        <w:pStyle w:val="2"/>
      </w:pPr>
      <w:bookmarkStart w:id="53" w:name="_Toc505550609"/>
      <w:r>
        <w:rPr>
          <w:rFonts w:hint="eastAsia"/>
        </w:rPr>
        <w:t>十</w:t>
      </w:r>
      <w:r>
        <w:t>、环境管理状况及</w:t>
      </w:r>
      <w:r>
        <w:rPr>
          <w:rFonts w:hint="eastAsia"/>
        </w:rPr>
        <w:t>监</w:t>
      </w:r>
      <w:r>
        <w:t>测计划</w:t>
      </w:r>
      <w:bookmarkEnd w:id="52"/>
      <w:bookmarkEnd w:id="53"/>
    </w:p>
    <w:p>
      <w:pPr>
        <w:pStyle w:val="3"/>
      </w:pPr>
      <w:bookmarkStart w:id="54" w:name="_Toc7556"/>
      <w:bookmarkStart w:id="55" w:name="_Toc4982"/>
      <w:bookmarkStart w:id="56" w:name="_Toc505550610"/>
      <w:r>
        <w:rPr>
          <w:rFonts w:hint="eastAsia"/>
        </w:rPr>
        <w:t>10</w:t>
      </w:r>
      <w:r>
        <w:t>.1 环保机构及制度建设</w:t>
      </w:r>
      <w:bookmarkEnd w:id="54"/>
      <w:bookmarkEnd w:id="55"/>
      <w:bookmarkEnd w:id="56"/>
    </w:p>
    <w:p>
      <w:r>
        <w:rPr>
          <w:rFonts w:hint="eastAsia"/>
        </w:rPr>
        <w:t>企业环保工作直接由厂长负责。建设合理规范的环保制度，安排员工定期检查和维护环保设施，并保证环保设备的正常使用；积极普及环保知识，提高员工的环保意识</w:t>
      </w:r>
      <w:r>
        <w:t>。</w:t>
      </w:r>
    </w:p>
    <w:p>
      <w:pPr>
        <w:pStyle w:val="3"/>
      </w:pPr>
      <w:bookmarkStart w:id="57" w:name="_Toc22900"/>
      <w:bookmarkStart w:id="58" w:name="_Toc5680"/>
      <w:bookmarkStart w:id="59" w:name="_Toc505550611"/>
      <w:r>
        <w:rPr>
          <w:rFonts w:hint="eastAsia"/>
        </w:rPr>
        <w:t>10</w:t>
      </w:r>
      <w:r>
        <w:t>.2 环境检测能力</w:t>
      </w:r>
      <w:bookmarkEnd w:id="57"/>
      <w:bookmarkEnd w:id="58"/>
      <w:bookmarkEnd w:id="59"/>
    </w:p>
    <w:p>
      <w:r>
        <w:t>针对本项目的特点，</w:t>
      </w:r>
      <w:r>
        <w:rPr>
          <w:rFonts w:hint="eastAsia" w:hAnsi="宋体"/>
        </w:rPr>
        <w:t>沧州鑫拓煤矿机械</w:t>
      </w:r>
      <w:r>
        <w:rPr>
          <w:rFonts w:hAnsi="宋体"/>
        </w:rPr>
        <w:t>有限公司</w:t>
      </w:r>
      <w:r>
        <w:t>不设环境检测机构，需要进行的环境监测任务委托有相关资质的环境监测</w:t>
      </w:r>
      <w:r>
        <w:rPr>
          <w:rFonts w:hint="eastAsia"/>
        </w:rPr>
        <w:t>单位</w:t>
      </w:r>
      <w:r>
        <w:t>进行。</w:t>
      </w:r>
      <w:bookmarkStart w:id="60" w:name="_Toc30292"/>
    </w:p>
    <w:p>
      <w:pPr>
        <w:pStyle w:val="2"/>
      </w:pPr>
      <w:bookmarkStart w:id="61" w:name="_Toc505550612"/>
      <w:r>
        <w:t>十</w:t>
      </w:r>
      <w:r>
        <w:rPr>
          <w:rFonts w:hint="eastAsia"/>
        </w:rPr>
        <w:t>一</w:t>
      </w:r>
      <w:r>
        <w:t>、结论</w:t>
      </w:r>
      <w:bookmarkEnd w:id="60"/>
      <w:bookmarkEnd w:id="61"/>
    </w:p>
    <w:p>
      <w:pPr>
        <w:rPr>
          <w:color w:val="FF0000"/>
        </w:rPr>
      </w:pPr>
      <w:r>
        <w:rPr>
          <w:rFonts w:hint="eastAsia" w:hAnsi="宋体"/>
        </w:rPr>
        <w:t>沧州鑫拓煤矿机械</w:t>
      </w:r>
      <w:r>
        <w:rPr>
          <w:rFonts w:hAnsi="宋体"/>
        </w:rPr>
        <w:t>有限公司</w:t>
      </w:r>
      <w:r>
        <w:rPr>
          <w:rFonts w:hint="eastAsia" w:hAnsi="宋体"/>
        </w:rPr>
        <w:t>年产4000吨煤矿机械结构件</w:t>
      </w:r>
      <w:r>
        <w:rPr>
          <w:rFonts w:hAnsi="宋体"/>
        </w:rPr>
        <w:t>项目</w:t>
      </w:r>
      <w:r>
        <w:t>建设符合国家产业政策，</w:t>
      </w:r>
      <w:r>
        <w:rPr>
          <w:lang w:val="zh-CN"/>
        </w:rPr>
        <w:t>项目落实了环评报告表</w:t>
      </w:r>
      <w:r>
        <w:rPr>
          <w:rFonts w:hint="eastAsia"/>
          <w:lang w:val="zh-CN"/>
        </w:rPr>
        <w:t>和环评补充报告表</w:t>
      </w:r>
      <w:r>
        <w:rPr>
          <w:lang w:val="zh-CN"/>
        </w:rPr>
        <w:t>及其批复中要求的环境保护设施、措施，并与主体工程同时投产使用</w:t>
      </w:r>
      <w:r>
        <w:rPr>
          <w:rFonts w:hint="eastAsia"/>
          <w:lang w:val="zh-CN"/>
        </w:rPr>
        <w:t>，</w:t>
      </w:r>
      <w:r>
        <w:rPr>
          <w:lang w:val="zh-CN"/>
        </w:rPr>
        <w:t>验收监测报告表明该项目各项污染物排放指标均符合国家和地方相关标准要求</w:t>
      </w:r>
      <w:r>
        <w:t>，该项目</w:t>
      </w:r>
      <w:r>
        <w:rPr>
          <w:rFonts w:hint="eastAsia"/>
        </w:rPr>
        <w:t>满足</w:t>
      </w:r>
      <w:r>
        <w:t>竣工环保验收条件。</w:t>
      </w:r>
      <w:bookmarkStart w:id="62" w:name="_Toc32352"/>
      <w:bookmarkEnd w:id="62"/>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31110"/>
      <w:docPartObj>
        <w:docPartGallery w:val="AutoText"/>
      </w:docPartObj>
    </w:sdtPr>
    <w:sdtContent>
      <w:p>
        <w:pPr>
          <w:pStyle w:val="16"/>
          <w:ind w:firstLine="360"/>
        </w:pPr>
        <w:r>
          <w:fldChar w:fldCharType="begin"/>
        </w:r>
        <w:r>
          <w:instrText xml:space="preserve"> PAGE   \* MERGEFORMAT </w:instrText>
        </w:r>
        <w:r>
          <w:fldChar w:fldCharType="separate"/>
        </w:r>
        <w:r>
          <w:rPr>
            <w:lang w:val="zh-CN"/>
          </w:rPr>
          <w:t>16</w:t>
        </w:r>
        <w:r>
          <w:fldChar w:fldCharType="end"/>
        </w:r>
      </w:p>
    </w:sdtContent>
  </w:sdt>
  <w:p>
    <w:pPr>
      <w:pStyle w:val="1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6131"/>
    <w:rsid w:val="00003FAA"/>
    <w:rsid w:val="000066BE"/>
    <w:rsid w:val="0001071C"/>
    <w:rsid w:val="00010DF6"/>
    <w:rsid w:val="00012344"/>
    <w:rsid w:val="00012E1E"/>
    <w:rsid w:val="0001493C"/>
    <w:rsid w:val="000169A7"/>
    <w:rsid w:val="00020F76"/>
    <w:rsid w:val="000214D9"/>
    <w:rsid w:val="00022E91"/>
    <w:rsid w:val="00023AF7"/>
    <w:rsid w:val="00024DAC"/>
    <w:rsid w:val="00025C40"/>
    <w:rsid w:val="00034166"/>
    <w:rsid w:val="000358EE"/>
    <w:rsid w:val="000412FB"/>
    <w:rsid w:val="0004178C"/>
    <w:rsid w:val="00044BCA"/>
    <w:rsid w:val="00045910"/>
    <w:rsid w:val="00050A9E"/>
    <w:rsid w:val="0005273D"/>
    <w:rsid w:val="00052878"/>
    <w:rsid w:val="00052905"/>
    <w:rsid w:val="0005535B"/>
    <w:rsid w:val="00056A0D"/>
    <w:rsid w:val="00057BEA"/>
    <w:rsid w:val="00061ACD"/>
    <w:rsid w:val="00066406"/>
    <w:rsid w:val="00067C8D"/>
    <w:rsid w:val="000702F4"/>
    <w:rsid w:val="00070BC5"/>
    <w:rsid w:val="0007453E"/>
    <w:rsid w:val="00076666"/>
    <w:rsid w:val="00081207"/>
    <w:rsid w:val="00082B7C"/>
    <w:rsid w:val="00083C27"/>
    <w:rsid w:val="000853BC"/>
    <w:rsid w:val="0008566F"/>
    <w:rsid w:val="0008707D"/>
    <w:rsid w:val="000900CE"/>
    <w:rsid w:val="00090CD8"/>
    <w:rsid w:val="000942BE"/>
    <w:rsid w:val="000943D9"/>
    <w:rsid w:val="000961E7"/>
    <w:rsid w:val="00096DC8"/>
    <w:rsid w:val="000A1F3C"/>
    <w:rsid w:val="000A331A"/>
    <w:rsid w:val="000A3AEF"/>
    <w:rsid w:val="000A7D0D"/>
    <w:rsid w:val="000B1FF5"/>
    <w:rsid w:val="000B6AD7"/>
    <w:rsid w:val="000C3726"/>
    <w:rsid w:val="000C3931"/>
    <w:rsid w:val="000C4019"/>
    <w:rsid w:val="000D2BAA"/>
    <w:rsid w:val="000D379A"/>
    <w:rsid w:val="000D5748"/>
    <w:rsid w:val="000D61C5"/>
    <w:rsid w:val="000D65BB"/>
    <w:rsid w:val="000D6E16"/>
    <w:rsid w:val="000D7FDD"/>
    <w:rsid w:val="000E2B6A"/>
    <w:rsid w:val="000E4C94"/>
    <w:rsid w:val="000E516B"/>
    <w:rsid w:val="000F6861"/>
    <w:rsid w:val="000F7EF0"/>
    <w:rsid w:val="00100B92"/>
    <w:rsid w:val="001027D3"/>
    <w:rsid w:val="001056F2"/>
    <w:rsid w:val="0011101D"/>
    <w:rsid w:val="00113372"/>
    <w:rsid w:val="0011349E"/>
    <w:rsid w:val="00114C81"/>
    <w:rsid w:val="00115A01"/>
    <w:rsid w:val="00117083"/>
    <w:rsid w:val="001255C7"/>
    <w:rsid w:val="001349E0"/>
    <w:rsid w:val="0013607C"/>
    <w:rsid w:val="00140547"/>
    <w:rsid w:val="001415A1"/>
    <w:rsid w:val="001429FC"/>
    <w:rsid w:val="00142F8A"/>
    <w:rsid w:val="0014351F"/>
    <w:rsid w:val="00143B24"/>
    <w:rsid w:val="0015197F"/>
    <w:rsid w:val="0015348B"/>
    <w:rsid w:val="001549B3"/>
    <w:rsid w:val="00162882"/>
    <w:rsid w:val="00163D13"/>
    <w:rsid w:val="00164224"/>
    <w:rsid w:val="0016654B"/>
    <w:rsid w:val="00171486"/>
    <w:rsid w:val="00175E3C"/>
    <w:rsid w:val="00177430"/>
    <w:rsid w:val="0018163C"/>
    <w:rsid w:val="00184C5F"/>
    <w:rsid w:val="0019659D"/>
    <w:rsid w:val="00196A1C"/>
    <w:rsid w:val="001977D4"/>
    <w:rsid w:val="001A0E83"/>
    <w:rsid w:val="001A23B8"/>
    <w:rsid w:val="001A4BBE"/>
    <w:rsid w:val="001A5C32"/>
    <w:rsid w:val="001A746C"/>
    <w:rsid w:val="001B0749"/>
    <w:rsid w:val="001B2C82"/>
    <w:rsid w:val="001C4858"/>
    <w:rsid w:val="001D0822"/>
    <w:rsid w:val="001D57EF"/>
    <w:rsid w:val="001E15B2"/>
    <w:rsid w:val="001E36FF"/>
    <w:rsid w:val="001E47E4"/>
    <w:rsid w:val="001E58DE"/>
    <w:rsid w:val="001E6994"/>
    <w:rsid w:val="001E69AB"/>
    <w:rsid w:val="001F5345"/>
    <w:rsid w:val="001F7E97"/>
    <w:rsid w:val="0020136E"/>
    <w:rsid w:val="0020252E"/>
    <w:rsid w:val="002026F3"/>
    <w:rsid w:val="002068F8"/>
    <w:rsid w:val="002143BC"/>
    <w:rsid w:val="00221F9A"/>
    <w:rsid w:val="00230652"/>
    <w:rsid w:val="002322BC"/>
    <w:rsid w:val="00237B04"/>
    <w:rsid w:val="002438FF"/>
    <w:rsid w:val="00243BCD"/>
    <w:rsid w:val="00243F26"/>
    <w:rsid w:val="002443A2"/>
    <w:rsid w:val="00244A6F"/>
    <w:rsid w:val="002459DB"/>
    <w:rsid w:val="002474A6"/>
    <w:rsid w:val="00250B0D"/>
    <w:rsid w:val="00251567"/>
    <w:rsid w:val="00257C27"/>
    <w:rsid w:val="0026136B"/>
    <w:rsid w:val="00261607"/>
    <w:rsid w:val="00262E0A"/>
    <w:rsid w:val="0026400A"/>
    <w:rsid w:val="00270E81"/>
    <w:rsid w:val="00271B38"/>
    <w:rsid w:val="00275B26"/>
    <w:rsid w:val="00275E90"/>
    <w:rsid w:val="002850B5"/>
    <w:rsid w:val="00285DF4"/>
    <w:rsid w:val="002900A5"/>
    <w:rsid w:val="0029108F"/>
    <w:rsid w:val="002929F5"/>
    <w:rsid w:val="00296CF3"/>
    <w:rsid w:val="002A1E33"/>
    <w:rsid w:val="002A4FF4"/>
    <w:rsid w:val="002B0677"/>
    <w:rsid w:val="002B1F90"/>
    <w:rsid w:val="002B3EEE"/>
    <w:rsid w:val="002B5A3E"/>
    <w:rsid w:val="002B7887"/>
    <w:rsid w:val="002C7CB4"/>
    <w:rsid w:val="002D023E"/>
    <w:rsid w:val="002D0D62"/>
    <w:rsid w:val="002D2225"/>
    <w:rsid w:val="002D2A43"/>
    <w:rsid w:val="002D5BE1"/>
    <w:rsid w:val="002D6826"/>
    <w:rsid w:val="002E2B99"/>
    <w:rsid w:val="002E2C26"/>
    <w:rsid w:val="002E4683"/>
    <w:rsid w:val="002E6EFD"/>
    <w:rsid w:val="002E777E"/>
    <w:rsid w:val="002F0807"/>
    <w:rsid w:val="002F0BBB"/>
    <w:rsid w:val="002F150B"/>
    <w:rsid w:val="002F1F25"/>
    <w:rsid w:val="002F6A65"/>
    <w:rsid w:val="00301831"/>
    <w:rsid w:val="00301EDE"/>
    <w:rsid w:val="00305975"/>
    <w:rsid w:val="003113A9"/>
    <w:rsid w:val="003142C6"/>
    <w:rsid w:val="003146FF"/>
    <w:rsid w:val="00314FB7"/>
    <w:rsid w:val="003157F1"/>
    <w:rsid w:val="00315EC2"/>
    <w:rsid w:val="00316624"/>
    <w:rsid w:val="00321B6A"/>
    <w:rsid w:val="00332F62"/>
    <w:rsid w:val="00340960"/>
    <w:rsid w:val="003447E8"/>
    <w:rsid w:val="003528A6"/>
    <w:rsid w:val="00352ACC"/>
    <w:rsid w:val="00352C3F"/>
    <w:rsid w:val="00353CA4"/>
    <w:rsid w:val="00354315"/>
    <w:rsid w:val="003547AA"/>
    <w:rsid w:val="003548CF"/>
    <w:rsid w:val="00355022"/>
    <w:rsid w:val="003555F8"/>
    <w:rsid w:val="003563A8"/>
    <w:rsid w:val="003611C9"/>
    <w:rsid w:val="00361468"/>
    <w:rsid w:val="003637D5"/>
    <w:rsid w:val="0036466C"/>
    <w:rsid w:val="00365871"/>
    <w:rsid w:val="003659B9"/>
    <w:rsid w:val="00366F75"/>
    <w:rsid w:val="0036757A"/>
    <w:rsid w:val="00372A0E"/>
    <w:rsid w:val="0037427B"/>
    <w:rsid w:val="003758CC"/>
    <w:rsid w:val="00376BDE"/>
    <w:rsid w:val="00377CD5"/>
    <w:rsid w:val="00380713"/>
    <w:rsid w:val="00382244"/>
    <w:rsid w:val="0038305E"/>
    <w:rsid w:val="003833E3"/>
    <w:rsid w:val="0038358E"/>
    <w:rsid w:val="00383769"/>
    <w:rsid w:val="003848F4"/>
    <w:rsid w:val="00384F5B"/>
    <w:rsid w:val="00392E48"/>
    <w:rsid w:val="003958C4"/>
    <w:rsid w:val="00395DD6"/>
    <w:rsid w:val="003A33C6"/>
    <w:rsid w:val="003A4316"/>
    <w:rsid w:val="003A50B0"/>
    <w:rsid w:val="003A5B60"/>
    <w:rsid w:val="003A64C3"/>
    <w:rsid w:val="003B09C0"/>
    <w:rsid w:val="003B58A3"/>
    <w:rsid w:val="003B7B54"/>
    <w:rsid w:val="003C12CD"/>
    <w:rsid w:val="003C198C"/>
    <w:rsid w:val="003C1CC9"/>
    <w:rsid w:val="003C22CE"/>
    <w:rsid w:val="003C2E23"/>
    <w:rsid w:val="003C3FDF"/>
    <w:rsid w:val="003C7BE3"/>
    <w:rsid w:val="003D3C04"/>
    <w:rsid w:val="003D661F"/>
    <w:rsid w:val="003E0D10"/>
    <w:rsid w:val="003E2DD1"/>
    <w:rsid w:val="003F1C68"/>
    <w:rsid w:val="003F1E77"/>
    <w:rsid w:val="003F5402"/>
    <w:rsid w:val="003F7C88"/>
    <w:rsid w:val="00401F51"/>
    <w:rsid w:val="00405E82"/>
    <w:rsid w:val="00411452"/>
    <w:rsid w:val="004120D5"/>
    <w:rsid w:val="004126D7"/>
    <w:rsid w:val="0042240B"/>
    <w:rsid w:val="00423A46"/>
    <w:rsid w:val="00426F77"/>
    <w:rsid w:val="00432158"/>
    <w:rsid w:val="004336D3"/>
    <w:rsid w:val="00442088"/>
    <w:rsid w:val="00442A10"/>
    <w:rsid w:val="00444B79"/>
    <w:rsid w:val="004450A4"/>
    <w:rsid w:val="004465B1"/>
    <w:rsid w:val="00447E69"/>
    <w:rsid w:val="0045251D"/>
    <w:rsid w:val="0045278A"/>
    <w:rsid w:val="00455D66"/>
    <w:rsid w:val="00456998"/>
    <w:rsid w:val="004603CE"/>
    <w:rsid w:val="00460A28"/>
    <w:rsid w:val="00464F99"/>
    <w:rsid w:val="00467925"/>
    <w:rsid w:val="00472F80"/>
    <w:rsid w:val="00474DAD"/>
    <w:rsid w:val="004762F7"/>
    <w:rsid w:val="0047767C"/>
    <w:rsid w:val="00483AFF"/>
    <w:rsid w:val="00487124"/>
    <w:rsid w:val="00487429"/>
    <w:rsid w:val="00490A83"/>
    <w:rsid w:val="00493888"/>
    <w:rsid w:val="004959D0"/>
    <w:rsid w:val="0049768A"/>
    <w:rsid w:val="00497895"/>
    <w:rsid w:val="004A155D"/>
    <w:rsid w:val="004A24E0"/>
    <w:rsid w:val="004A2C89"/>
    <w:rsid w:val="004A4A6B"/>
    <w:rsid w:val="004A6C03"/>
    <w:rsid w:val="004B6673"/>
    <w:rsid w:val="004C2609"/>
    <w:rsid w:val="004C3CB7"/>
    <w:rsid w:val="004D4DDC"/>
    <w:rsid w:val="004E309C"/>
    <w:rsid w:val="004E5D46"/>
    <w:rsid w:val="004F13F3"/>
    <w:rsid w:val="004F173D"/>
    <w:rsid w:val="004F17E5"/>
    <w:rsid w:val="004F215A"/>
    <w:rsid w:val="004F2D61"/>
    <w:rsid w:val="004F3DB3"/>
    <w:rsid w:val="0050040F"/>
    <w:rsid w:val="00506ACA"/>
    <w:rsid w:val="00513B12"/>
    <w:rsid w:val="0051424A"/>
    <w:rsid w:val="005150CE"/>
    <w:rsid w:val="0052381E"/>
    <w:rsid w:val="005254D5"/>
    <w:rsid w:val="00526061"/>
    <w:rsid w:val="0053002E"/>
    <w:rsid w:val="005301A9"/>
    <w:rsid w:val="005327C1"/>
    <w:rsid w:val="005359D4"/>
    <w:rsid w:val="005400DE"/>
    <w:rsid w:val="00546425"/>
    <w:rsid w:val="00547BD7"/>
    <w:rsid w:val="005501AA"/>
    <w:rsid w:val="005609DC"/>
    <w:rsid w:val="00560B07"/>
    <w:rsid w:val="005614FD"/>
    <w:rsid w:val="005670EF"/>
    <w:rsid w:val="00567EF3"/>
    <w:rsid w:val="00570243"/>
    <w:rsid w:val="00570D4D"/>
    <w:rsid w:val="00576B1D"/>
    <w:rsid w:val="00577C72"/>
    <w:rsid w:val="005811E8"/>
    <w:rsid w:val="00583DAB"/>
    <w:rsid w:val="0058797B"/>
    <w:rsid w:val="00590C5E"/>
    <w:rsid w:val="00595688"/>
    <w:rsid w:val="005A040F"/>
    <w:rsid w:val="005A2CF2"/>
    <w:rsid w:val="005A418B"/>
    <w:rsid w:val="005A4E9D"/>
    <w:rsid w:val="005B0640"/>
    <w:rsid w:val="005B0CA3"/>
    <w:rsid w:val="005B2C24"/>
    <w:rsid w:val="005B3B19"/>
    <w:rsid w:val="005B411E"/>
    <w:rsid w:val="005C792D"/>
    <w:rsid w:val="005C796E"/>
    <w:rsid w:val="005D61BA"/>
    <w:rsid w:val="005E1A5D"/>
    <w:rsid w:val="005E31EA"/>
    <w:rsid w:val="005F155A"/>
    <w:rsid w:val="005F1CF0"/>
    <w:rsid w:val="005F339B"/>
    <w:rsid w:val="005F471C"/>
    <w:rsid w:val="005F6632"/>
    <w:rsid w:val="00601049"/>
    <w:rsid w:val="006017E8"/>
    <w:rsid w:val="00601C6D"/>
    <w:rsid w:val="00605F87"/>
    <w:rsid w:val="00606CA7"/>
    <w:rsid w:val="00612CD5"/>
    <w:rsid w:val="006153F6"/>
    <w:rsid w:val="0061577C"/>
    <w:rsid w:val="00622805"/>
    <w:rsid w:val="00622C83"/>
    <w:rsid w:val="00624157"/>
    <w:rsid w:val="00625AF1"/>
    <w:rsid w:val="00626056"/>
    <w:rsid w:val="00633745"/>
    <w:rsid w:val="00634CB1"/>
    <w:rsid w:val="00641F30"/>
    <w:rsid w:val="006456C2"/>
    <w:rsid w:val="006576CB"/>
    <w:rsid w:val="00660798"/>
    <w:rsid w:val="00661388"/>
    <w:rsid w:val="006613A5"/>
    <w:rsid w:val="0066269A"/>
    <w:rsid w:val="00664020"/>
    <w:rsid w:val="00665E0E"/>
    <w:rsid w:val="006662F7"/>
    <w:rsid w:val="00667AB6"/>
    <w:rsid w:val="0067074A"/>
    <w:rsid w:val="00671E54"/>
    <w:rsid w:val="00676897"/>
    <w:rsid w:val="00676D01"/>
    <w:rsid w:val="00676E52"/>
    <w:rsid w:val="00677674"/>
    <w:rsid w:val="00682BC6"/>
    <w:rsid w:val="00684052"/>
    <w:rsid w:val="00687420"/>
    <w:rsid w:val="0069086C"/>
    <w:rsid w:val="00691750"/>
    <w:rsid w:val="006969CB"/>
    <w:rsid w:val="006A04F1"/>
    <w:rsid w:val="006A16B6"/>
    <w:rsid w:val="006A2CE0"/>
    <w:rsid w:val="006A590C"/>
    <w:rsid w:val="006A5C8A"/>
    <w:rsid w:val="006B00FF"/>
    <w:rsid w:val="006B351A"/>
    <w:rsid w:val="006C23DD"/>
    <w:rsid w:val="006C3319"/>
    <w:rsid w:val="006C5543"/>
    <w:rsid w:val="006D34A1"/>
    <w:rsid w:val="006D4042"/>
    <w:rsid w:val="006D420D"/>
    <w:rsid w:val="006D4C08"/>
    <w:rsid w:val="006D6131"/>
    <w:rsid w:val="006D64D6"/>
    <w:rsid w:val="006E2838"/>
    <w:rsid w:val="006E39BC"/>
    <w:rsid w:val="006E4D24"/>
    <w:rsid w:val="006E75BB"/>
    <w:rsid w:val="006E77FB"/>
    <w:rsid w:val="006E7C31"/>
    <w:rsid w:val="006F1666"/>
    <w:rsid w:val="006F63E1"/>
    <w:rsid w:val="0070298C"/>
    <w:rsid w:val="007048A6"/>
    <w:rsid w:val="0070580F"/>
    <w:rsid w:val="00706EF5"/>
    <w:rsid w:val="00714F09"/>
    <w:rsid w:val="00717D31"/>
    <w:rsid w:val="007220FB"/>
    <w:rsid w:val="007303F1"/>
    <w:rsid w:val="00732AC8"/>
    <w:rsid w:val="00735227"/>
    <w:rsid w:val="00736CA0"/>
    <w:rsid w:val="0073766C"/>
    <w:rsid w:val="0073772E"/>
    <w:rsid w:val="00743C4A"/>
    <w:rsid w:val="00747937"/>
    <w:rsid w:val="00750995"/>
    <w:rsid w:val="00757F35"/>
    <w:rsid w:val="007618A6"/>
    <w:rsid w:val="00763581"/>
    <w:rsid w:val="00763D34"/>
    <w:rsid w:val="0077190A"/>
    <w:rsid w:val="00773390"/>
    <w:rsid w:val="007742C4"/>
    <w:rsid w:val="00774C93"/>
    <w:rsid w:val="0077615B"/>
    <w:rsid w:val="007774CC"/>
    <w:rsid w:val="00777F28"/>
    <w:rsid w:val="00780F13"/>
    <w:rsid w:val="00782580"/>
    <w:rsid w:val="007831B7"/>
    <w:rsid w:val="00784060"/>
    <w:rsid w:val="00785AB2"/>
    <w:rsid w:val="00786E46"/>
    <w:rsid w:val="00790428"/>
    <w:rsid w:val="00790F31"/>
    <w:rsid w:val="00793BD7"/>
    <w:rsid w:val="00793C29"/>
    <w:rsid w:val="00794B39"/>
    <w:rsid w:val="00794F1D"/>
    <w:rsid w:val="007A0852"/>
    <w:rsid w:val="007A4F1A"/>
    <w:rsid w:val="007A4F85"/>
    <w:rsid w:val="007A6613"/>
    <w:rsid w:val="007A6BF8"/>
    <w:rsid w:val="007B242D"/>
    <w:rsid w:val="007B2B17"/>
    <w:rsid w:val="007B36B1"/>
    <w:rsid w:val="007B4E0A"/>
    <w:rsid w:val="007B6AA8"/>
    <w:rsid w:val="007C2B65"/>
    <w:rsid w:val="007C7AF6"/>
    <w:rsid w:val="007D049D"/>
    <w:rsid w:val="007D0524"/>
    <w:rsid w:val="007D0B66"/>
    <w:rsid w:val="007D2CFE"/>
    <w:rsid w:val="007D3B37"/>
    <w:rsid w:val="007D425F"/>
    <w:rsid w:val="007D75F0"/>
    <w:rsid w:val="007F7ED6"/>
    <w:rsid w:val="00804A4F"/>
    <w:rsid w:val="00805093"/>
    <w:rsid w:val="00805F68"/>
    <w:rsid w:val="00806D0D"/>
    <w:rsid w:val="00812336"/>
    <w:rsid w:val="00815C13"/>
    <w:rsid w:val="008203B2"/>
    <w:rsid w:val="00821163"/>
    <w:rsid w:val="00821D03"/>
    <w:rsid w:val="008306AE"/>
    <w:rsid w:val="008336D3"/>
    <w:rsid w:val="00835177"/>
    <w:rsid w:val="00842086"/>
    <w:rsid w:val="00842F12"/>
    <w:rsid w:val="008433BD"/>
    <w:rsid w:val="00847BB4"/>
    <w:rsid w:val="00852EB8"/>
    <w:rsid w:val="00855DF1"/>
    <w:rsid w:val="00860D1E"/>
    <w:rsid w:val="008614A7"/>
    <w:rsid w:val="00866D2F"/>
    <w:rsid w:val="0086796F"/>
    <w:rsid w:val="00871892"/>
    <w:rsid w:val="00871D07"/>
    <w:rsid w:val="008752BE"/>
    <w:rsid w:val="00880882"/>
    <w:rsid w:val="008836A7"/>
    <w:rsid w:val="008845B7"/>
    <w:rsid w:val="008864F8"/>
    <w:rsid w:val="00887DE7"/>
    <w:rsid w:val="0089668C"/>
    <w:rsid w:val="008A31A7"/>
    <w:rsid w:val="008A3781"/>
    <w:rsid w:val="008A4B69"/>
    <w:rsid w:val="008A5A69"/>
    <w:rsid w:val="008A615B"/>
    <w:rsid w:val="008C0476"/>
    <w:rsid w:val="008C0C27"/>
    <w:rsid w:val="008C42B8"/>
    <w:rsid w:val="008C51DF"/>
    <w:rsid w:val="008D0089"/>
    <w:rsid w:val="008D2D37"/>
    <w:rsid w:val="008D4667"/>
    <w:rsid w:val="008D7554"/>
    <w:rsid w:val="008E2C8D"/>
    <w:rsid w:val="008E3DC3"/>
    <w:rsid w:val="008E3E7B"/>
    <w:rsid w:val="008E42C1"/>
    <w:rsid w:val="008E67F9"/>
    <w:rsid w:val="008F3E8D"/>
    <w:rsid w:val="009118F4"/>
    <w:rsid w:val="009123C0"/>
    <w:rsid w:val="00914854"/>
    <w:rsid w:val="0091499F"/>
    <w:rsid w:val="00914A80"/>
    <w:rsid w:val="00915486"/>
    <w:rsid w:val="00916127"/>
    <w:rsid w:val="00916510"/>
    <w:rsid w:val="0092383B"/>
    <w:rsid w:val="009245D8"/>
    <w:rsid w:val="00924703"/>
    <w:rsid w:val="009253B3"/>
    <w:rsid w:val="009257D4"/>
    <w:rsid w:val="00925950"/>
    <w:rsid w:val="00926024"/>
    <w:rsid w:val="009279D6"/>
    <w:rsid w:val="00932347"/>
    <w:rsid w:val="00935BB7"/>
    <w:rsid w:val="00936517"/>
    <w:rsid w:val="00941D8E"/>
    <w:rsid w:val="00941FB3"/>
    <w:rsid w:val="00942A5A"/>
    <w:rsid w:val="00945A25"/>
    <w:rsid w:val="00946649"/>
    <w:rsid w:val="00946FF2"/>
    <w:rsid w:val="0095025E"/>
    <w:rsid w:val="00952D2A"/>
    <w:rsid w:val="0095337C"/>
    <w:rsid w:val="009611A8"/>
    <w:rsid w:val="00970950"/>
    <w:rsid w:val="0097413C"/>
    <w:rsid w:val="00974BDE"/>
    <w:rsid w:val="00976123"/>
    <w:rsid w:val="009811D7"/>
    <w:rsid w:val="00982B1C"/>
    <w:rsid w:val="00984340"/>
    <w:rsid w:val="009875FD"/>
    <w:rsid w:val="009931CA"/>
    <w:rsid w:val="009A1265"/>
    <w:rsid w:val="009A2F63"/>
    <w:rsid w:val="009A71C4"/>
    <w:rsid w:val="009B1532"/>
    <w:rsid w:val="009B5929"/>
    <w:rsid w:val="009C65B1"/>
    <w:rsid w:val="009C65C3"/>
    <w:rsid w:val="009C7AF1"/>
    <w:rsid w:val="009D2791"/>
    <w:rsid w:val="009D54A0"/>
    <w:rsid w:val="009D587B"/>
    <w:rsid w:val="009D7C28"/>
    <w:rsid w:val="009E0A62"/>
    <w:rsid w:val="009E129D"/>
    <w:rsid w:val="009E1C74"/>
    <w:rsid w:val="009E5230"/>
    <w:rsid w:val="009F1314"/>
    <w:rsid w:val="009F2988"/>
    <w:rsid w:val="009F3C1C"/>
    <w:rsid w:val="009F584D"/>
    <w:rsid w:val="009F6049"/>
    <w:rsid w:val="00A00878"/>
    <w:rsid w:val="00A00DC5"/>
    <w:rsid w:val="00A02214"/>
    <w:rsid w:val="00A04495"/>
    <w:rsid w:val="00A07B4D"/>
    <w:rsid w:val="00A146BE"/>
    <w:rsid w:val="00A2108E"/>
    <w:rsid w:val="00A2563C"/>
    <w:rsid w:val="00A27EEC"/>
    <w:rsid w:val="00A30118"/>
    <w:rsid w:val="00A30EB0"/>
    <w:rsid w:val="00A34FED"/>
    <w:rsid w:val="00A36E85"/>
    <w:rsid w:val="00A420A3"/>
    <w:rsid w:val="00A4381A"/>
    <w:rsid w:val="00A44A55"/>
    <w:rsid w:val="00A4511A"/>
    <w:rsid w:val="00A46F54"/>
    <w:rsid w:val="00A50EF3"/>
    <w:rsid w:val="00A51D9C"/>
    <w:rsid w:val="00A526E9"/>
    <w:rsid w:val="00A54759"/>
    <w:rsid w:val="00A54E14"/>
    <w:rsid w:val="00A55340"/>
    <w:rsid w:val="00A555CE"/>
    <w:rsid w:val="00A566A8"/>
    <w:rsid w:val="00A56C5D"/>
    <w:rsid w:val="00A570F3"/>
    <w:rsid w:val="00A57363"/>
    <w:rsid w:val="00A62F82"/>
    <w:rsid w:val="00A645AA"/>
    <w:rsid w:val="00A64890"/>
    <w:rsid w:val="00A7184F"/>
    <w:rsid w:val="00A71912"/>
    <w:rsid w:val="00A72958"/>
    <w:rsid w:val="00A729E3"/>
    <w:rsid w:val="00A74FE9"/>
    <w:rsid w:val="00A7550D"/>
    <w:rsid w:val="00A8063C"/>
    <w:rsid w:val="00A80EAC"/>
    <w:rsid w:val="00A82CDB"/>
    <w:rsid w:val="00A82DE9"/>
    <w:rsid w:val="00A8373E"/>
    <w:rsid w:val="00A87224"/>
    <w:rsid w:val="00A901DA"/>
    <w:rsid w:val="00A9337A"/>
    <w:rsid w:val="00A952DE"/>
    <w:rsid w:val="00A9670F"/>
    <w:rsid w:val="00A97207"/>
    <w:rsid w:val="00AA03A6"/>
    <w:rsid w:val="00AA2564"/>
    <w:rsid w:val="00AA385C"/>
    <w:rsid w:val="00AA4A49"/>
    <w:rsid w:val="00AA653F"/>
    <w:rsid w:val="00AB3B16"/>
    <w:rsid w:val="00AB42CC"/>
    <w:rsid w:val="00AB4DF5"/>
    <w:rsid w:val="00AC3279"/>
    <w:rsid w:val="00AC3968"/>
    <w:rsid w:val="00AC6944"/>
    <w:rsid w:val="00AD2E87"/>
    <w:rsid w:val="00AD324B"/>
    <w:rsid w:val="00AD4D78"/>
    <w:rsid w:val="00AD7973"/>
    <w:rsid w:val="00AD7D87"/>
    <w:rsid w:val="00AE06A7"/>
    <w:rsid w:val="00AE208B"/>
    <w:rsid w:val="00AE6DCE"/>
    <w:rsid w:val="00AF199A"/>
    <w:rsid w:val="00AF281A"/>
    <w:rsid w:val="00AF2A2C"/>
    <w:rsid w:val="00AF5F62"/>
    <w:rsid w:val="00AF7AD9"/>
    <w:rsid w:val="00B00C51"/>
    <w:rsid w:val="00B03488"/>
    <w:rsid w:val="00B12181"/>
    <w:rsid w:val="00B126C3"/>
    <w:rsid w:val="00B1465A"/>
    <w:rsid w:val="00B160A2"/>
    <w:rsid w:val="00B20134"/>
    <w:rsid w:val="00B24CAD"/>
    <w:rsid w:val="00B25DD4"/>
    <w:rsid w:val="00B33937"/>
    <w:rsid w:val="00B33FEF"/>
    <w:rsid w:val="00B365FA"/>
    <w:rsid w:val="00B368A6"/>
    <w:rsid w:val="00B37C50"/>
    <w:rsid w:val="00B41369"/>
    <w:rsid w:val="00B47607"/>
    <w:rsid w:val="00B5053C"/>
    <w:rsid w:val="00B52C4F"/>
    <w:rsid w:val="00B533CC"/>
    <w:rsid w:val="00B55C02"/>
    <w:rsid w:val="00B5625C"/>
    <w:rsid w:val="00B6014F"/>
    <w:rsid w:val="00B61BA0"/>
    <w:rsid w:val="00B6271A"/>
    <w:rsid w:val="00B6341F"/>
    <w:rsid w:val="00B661D5"/>
    <w:rsid w:val="00B7009E"/>
    <w:rsid w:val="00B71030"/>
    <w:rsid w:val="00B719F4"/>
    <w:rsid w:val="00B74C54"/>
    <w:rsid w:val="00B77602"/>
    <w:rsid w:val="00B801D1"/>
    <w:rsid w:val="00B815FA"/>
    <w:rsid w:val="00B82D08"/>
    <w:rsid w:val="00B8317F"/>
    <w:rsid w:val="00B917FE"/>
    <w:rsid w:val="00B91877"/>
    <w:rsid w:val="00B933F4"/>
    <w:rsid w:val="00B94FE3"/>
    <w:rsid w:val="00B960AA"/>
    <w:rsid w:val="00B961CB"/>
    <w:rsid w:val="00BA0778"/>
    <w:rsid w:val="00BA1D4E"/>
    <w:rsid w:val="00BB0A46"/>
    <w:rsid w:val="00BB1626"/>
    <w:rsid w:val="00BB16B2"/>
    <w:rsid w:val="00BB505A"/>
    <w:rsid w:val="00BB5468"/>
    <w:rsid w:val="00BB66FA"/>
    <w:rsid w:val="00BC1B18"/>
    <w:rsid w:val="00BC787A"/>
    <w:rsid w:val="00BC7BFD"/>
    <w:rsid w:val="00BD0D02"/>
    <w:rsid w:val="00BD0F13"/>
    <w:rsid w:val="00BD50E8"/>
    <w:rsid w:val="00BE29F0"/>
    <w:rsid w:val="00BE41A4"/>
    <w:rsid w:val="00BE4932"/>
    <w:rsid w:val="00C01076"/>
    <w:rsid w:val="00C0734D"/>
    <w:rsid w:val="00C0756C"/>
    <w:rsid w:val="00C07D5E"/>
    <w:rsid w:val="00C10148"/>
    <w:rsid w:val="00C102C8"/>
    <w:rsid w:val="00C16542"/>
    <w:rsid w:val="00C17E8B"/>
    <w:rsid w:val="00C20EDC"/>
    <w:rsid w:val="00C2102E"/>
    <w:rsid w:val="00C21272"/>
    <w:rsid w:val="00C247A6"/>
    <w:rsid w:val="00C264EB"/>
    <w:rsid w:val="00C27720"/>
    <w:rsid w:val="00C27867"/>
    <w:rsid w:val="00C31DB1"/>
    <w:rsid w:val="00C32107"/>
    <w:rsid w:val="00C327F1"/>
    <w:rsid w:val="00C3592B"/>
    <w:rsid w:val="00C36C7A"/>
    <w:rsid w:val="00C40F83"/>
    <w:rsid w:val="00C40FC9"/>
    <w:rsid w:val="00C42CB3"/>
    <w:rsid w:val="00C453EE"/>
    <w:rsid w:val="00C45D1F"/>
    <w:rsid w:val="00C45E5A"/>
    <w:rsid w:val="00C46808"/>
    <w:rsid w:val="00C46A7D"/>
    <w:rsid w:val="00C46D88"/>
    <w:rsid w:val="00C472F4"/>
    <w:rsid w:val="00C47546"/>
    <w:rsid w:val="00C521AC"/>
    <w:rsid w:val="00C60139"/>
    <w:rsid w:val="00C639AD"/>
    <w:rsid w:val="00C65E37"/>
    <w:rsid w:val="00C662AA"/>
    <w:rsid w:val="00C67702"/>
    <w:rsid w:val="00C711D4"/>
    <w:rsid w:val="00C77693"/>
    <w:rsid w:val="00C805BB"/>
    <w:rsid w:val="00C8258A"/>
    <w:rsid w:val="00C847CC"/>
    <w:rsid w:val="00C84C1C"/>
    <w:rsid w:val="00C85367"/>
    <w:rsid w:val="00C863C9"/>
    <w:rsid w:val="00C87C79"/>
    <w:rsid w:val="00C90201"/>
    <w:rsid w:val="00C9284F"/>
    <w:rsid w:val="00C93A0B"/>
    <w:rsid w:val="00C9495D"/>
    <w:rsid w:val="00C94F5B"/>
    <w:rsid w:val="00C96B7E"/>
    <w:rsid w:val="00C97F1D"/>
    <w:rsid w:val="00CA3246"/>
    <w:rsid w:val="00CA3AC0"/>
    <w:rsid w:val="00CA7B2C"/>
    <w:rsid w:val="00CB0A9F"/>
    <w:rsid w:val="00CB2D13"/>
    <w:rsid w:val="00CB4DE9"/>
    <w:rsid w:val="00CB573D"/>
    <w:rsid w:val="00CB5A5E"/>
    <w:rsid w:val="00CC2976"/>
    <w:rsid w:val="00CC51A8"/>
    <w:rsid w:val="00CD1BB0"/>
    <w:rsid w:val="00CD33C7"/>
    <w:rsid w:val="00CD7269"/>
    <w:rsid w:val="00CD7943"/>
    <w:rsid w:val="00CE05F9"/>
    <w:rsid w:val="00CE3069"/>
    <w:rsid w:val="00CE3252"/>
    <w:rsid w:val="00CE7786"/>
    <w:rsid w:val="00CE792F"/>
    <w:rsid w:val="00CF5059"/>
    <w:rsid w:val="00D04AB0"/>
    <w:rsid w:val="00D056EC"/>
    <w:rsid w:val="00D06ADA"/>
    <w:rsid w:val="00D07391"/>
    <w:rsid w:val="00D10B55"/>
    <w:rsid w:val="00D10F32"/>
    <w:rsid w:val="00D11315"/>
    <w:rsid w:val="00D14609"/>
    <w:rsid w:val="00D148F6"/>
    <w:rsid w:val="00D32752"/>
    <w:rsid w:val="00D34CD9"/>
    <w:rsid w:val="00D3577A"/>
    <w:rsid w:val="00D37205"/>
    <w:rsid w:val="00D410F2"/>
    <w:rsid w:val="00D432B2"/>
    <w:rsid w:val="00D4787F"/>
    <w:rsid w:val="00D55FBF"/>
    <w:rsid w:val="00D57022"/>
    <w:rsid w:val="00D607B0"/>
    <w:rsid w:val="00D60D9D"/>
    <w:rsid w:val="00D63AB7"/>
    <w:rsid w:val="00D6622E"/>
    <w:rsid w:val="00D6675E"/>
    <w:rsid w:val="00D76A77"/>
    <w:rsid w:val="00D81A7F"/>
    <w:rsid w:val="00D82E20"/>
    <w:rsid w:val="00D83607"/>
    <w:rsid w:val="00D92900"/>
    <w:rsid w:val="00DA0D07"/>
    <w:rsid w:val="00DA352D"/>
    <w:rsid w:val="00DA388B"/>
    <w:rsid w:val="00DA47B1"/>
    <w:rsid w:val="00DB4C5B"/>
    <w:rsid w:val="00DB5852"/>
    <w:rsid w:val="00DB6546"/>
    <w:rsid w:val="00DC02E0"/>
    <w:rsid w:val="00DC2D85"/>
    <w:rsid w:val="00DC64B0"/>
    <w:rsid w:val="00DC76FF"/>
    <w:rsid w:val="00DD06C6"/>
    <w:rsid w:val="00DD2694"/>
    <w:rsid w:val="00DD64D5"/>
    <w:rsid w:val="00DE0AF1"/>
    <w:rsid w:val="00DF0F19"/>
    <w:rsid w:val="00DF69B6"/>
    <w:rsid w:val="00DF7A0E"/>
    <w:rsid w:val="00DF7CDB"/>
    <w:rsid w:val="00E03581"/>
    <w:rsid w:val="00E03610"/>
    <w:rsid w:val="00E07655"/>
    <w:rsid w:val="00E07BA1"/>
    <w:rsid w:val="00E108FB"/>
    <w:rsid w:val="00E11207"/>
    <w:rsid w:val="00E15A2A"/>
    <w:rsid w:val="00E16643"/>
    <w:rsid w:val="00E170FF"/>
    <w:rsid w:val="00E2128A"/>
    <w:rsid w:val="00E23242"/>
    <w:rsid w:val="00E24A6F"/>
    <w:rsid w:val="00E26C4E"/>
    <w:rsid w:val="00E27155"/>
    <w:rsid w:val="00E33A59"/>
    <w:rsid w:val="00E35A5D"/>
    <w:rsid w:val="00E40DF9"/>
    <w:rsid w:val="00E45E95"/>
    <w:rsid w:val="00E5050D"/>
    <w:rsid w:val="00E55695"/>
    <w:rsid w:val="00E57231"/>
    <w:rsid w:val="00E57E35"/>
    <w:rsid w:val="00E636CF"/>
    <w:rsid w:val="00E675CA"/>
    <w:rsid w:val="00E677C7"/>
    <w:rsid w:val="00E76913"/>
    <w:rsid w:val="00E77AAD"/>
    <w:rsid w:val="00E82CB2"/>
    <w:rsid w:val="00E86666"/>
    <w:rsid w:val="00E86D34"/>
    <w:rsid w:val="00E900FB"/>
    <w:rsid w:val="00E90105"/>
    <w:rsid w:val="00E94F75"/>
    <w:rsid w:val="00EA1C9D"/>
    <w:rsid w:val="00EA2F7B"/>
    <w:rsid w:val="00EA59F5"/>
    <w:rsid w:val="00EA68E2"/>
    <w:rsid w:val="00EB3610"/>
    <w:rsid w:val="00EC035D"/>
    <w:rsid w:val="00EC0787"/>
    <w:rsid w:val="00EC323E"/>
    <w:rsid w:val="00EC4AF4"/>
    <w:rsid w:val="00EC50C8"/>
    <w:rsid w:val="00EC6329"/>
    <w:rsid w:val="00ED4009"/>
    <w:rsid w:val="00ED62BF"/>
    <w:rsid w:val="00ED6C01"/>
    <w:rsid w:val="00EE1791"/>
    <w:rsid w:val="00EE3856"/>
    <w:rsid w:val="00EE633D"/>
    <w:rsid w:val="00EF43C3"/>
    <w:rsid w:val="00EF75BC"/>
    <w:rsid w:val="00EF7AC7"/>
    <w:rsid w:val="00F13537"/>
    <w:rsid w:val="00F14B75"/>
    <w:rsid w:val="00F201AB"/>
    <w:rsid w:val="00F21D29"/>
    <w:rsid w:val="00F2682C"/>
    <w:rsid w:val="00F26D3E"/>
    <w:rsid w:val="00F303F0"/>
    <w:rsid w:val="00F316BF"/>
    <w:rsid w:val="00F33C51"/>
    <w:rsid w:val="00F37C4F"/>
    <w:rsid w:val="00F41FC0"/>
    <w:rsid w:val="00F53FC2"/>
    <w:rsid w:val="00F53FEB"/>
    <w:rsid w:val="00F55893"/>
    <w:rsid w:val="00F55EFD"/>
    <w:rsid w:val="00F66D18"/>
    <w:rsid w:val="00F80E42"/>
    <w:rsid w:val="00F8180F"/>
    <w:rsid w:val="00F83622"/>
    <w:rsid w:val="00F91E2A"/>
    <w:rsid w:val="00F94410"/>
    <w:rsid w:val="00F9487A"/>
    <w:rsid w:val="00F97803"/>
    <w:rsid w:val="00F97A8D"/>
    <w:rsid w:val="00FA21E3"/>
    <w:rsid w:val="00FA2D64"/>
    <w:rsid w:val="00FA4E66"/>
    <w:rsid w:val="00FB26C2"/>
    <w:rsid w:val="00FB2AD1"/>
    <w:rsid w:val="00FB7446"/>
    <w:rsid w:val="00FC2F4B"/>
    <w:rsid w:val="00FC31B3"/>
    <w:rsid w:val="00FC3A04"/>
    <w:rsid w:val="00FC4EA8"/>
    <w:rsid w:val="00FC747E"/>
    <w:rsid w:val="00FD1A73"/>
    <w:rsid w:val="00FE082E"/>
    <w:rsid w:val="00FE16A8"/>
    <w:rsid w:val="00FE1DCF"/>
    <w:rsid w:val="00FE3544"/>
    <w:rsid w:val="00FE59AD"/>
    <w:rsid w:val="00FE6823"/>
    <w:rsid w:val="00FE7E3D"/>
    <w:rsid w:val="00FF2DD1"/>
    <w:rsid w:val="00FF35D3"/>
    <w:rsid w:val="01457040"/>
    <w:rsid w:val="01560994"/>
    <w:rsid w:val="01887137"/>
    <w:rsid w:val="019B6412"/>
    <w:rsid w:val="019F7356"/>
    <w:rsid w:val="01D429E5"/>
    <w:rsid w:val="02152554"/>
    <w:rsid w:val="02450618"/>
    <w:rsid w:val="0278212A"/>
    <w:rsid w:val="02950B60"/>
    <w:rsid w:val="03075623"/>
    <w:rsid w:val="030D77CE"/>
    <w:rsid w:val="0344188D"/>
    <w:rsid w:val="03A20CF4"/>
    <w:rsid w:val="03DE4747"/>
    <w:rsid w:val="041303E7"/>
    <w:rsid w:val="044079CB"/>
    <w:rsid w:val="046169A0"/>
    <w:rsid w:val="049A22F7"/>
    <w:rsid w:val="04A25B33"/>
    <w:rsid w:val="04BC3E81"/>
    <w:rsid w:val="04E22A65"/>
    <w:rsid w:val="056075A5"/>
    <w:rsid w:val="05906923"/>
    <w:rsid w:val="06B755B4"/>
    <w:rsid w:val="07250D5E"/>
    <w:rsid w:val="07261F4D"/>
    <w:rsid w:val="072D0BF4"/>
    <w:rsid w:val="0734265C"/>
    <w:rsid w:val="07733D72"/>
    <w:rsid w:val="07D35B6F"/>
    <w:rsid w:val="0809612A"/>
    <w:rsid w:val="08150729"/>
    <w:rsid w:val="081F2542"/>
    <w:rsid w:val="085F43B5"/>
    <w:rsid w:val="087136DC"/>
    <w:rsid w:val="0886545F"/>
    <w:rsid w:val="090E1ACE"/>
    <w:rsid w:val="091045CE"/>
    <w:rsid w:val="09455F04"/>
    <w:rsid w:val="095E6D08"/>
    <w:rsid w:val="096A2DCD"/>
    <w:rsid w:val="097A3B22"/>
    <w:rsid w:val="09A92877"/>
    <w:rsid w:val="0A0A526C"/>
    <w:rsid w:val="0A456696"/>
    <w:rsid w:val="0A94274E"/>
    <w:rsid w:val="0AF438D5"/>
    <w:rsid w:val="0B206564"/>
    <w:rsid w:val="0B902006"/>
    <w:rsid w:val="0B9335E0"/>
    <w:rsid w:val="0B937A34"/>
    <w:rsid w:val="0B990DDE"/>
    <w:rsid w:val="0BC41F82"/>
    <w:rsid w:val="0C0F6664"/>
    <w:rsid w:val="0C597BF9"/>
    <w:rsid w:val="0C5F56F7"/>
    <w:rsid w:val="0C797C1D"/>
    <w:rsid w:val="0CBA6072"/>
    <w:rsid w:val="0CD24C01"/>
    <w:rsid w:val="0CF75489"/>
    <w:rsid w:val="0D350E95"/>
    <w:rsid w:val="0D520E78"/>
    <w:rsid w:val="0D7A6478"/>
    <w:rsid w:val="0DB61BA3"/>
    <w:rsid w:val="0DC8259D"/>
    <w:rsid w:val="0E285569"/>
    <w:rsid w:val="0E607AD6"/>
    <w:rsid w:val="0EAA01BD"/>
    <w:rsid w:val="0EE12970"/>
    <w:rsid w:val="0F8B3310"/>
    <w:rsid w:val="0F9B35A8"/>
    <w:rsid w:val="0FC17DB1"/>
    <w:rsid w:val="0FD94B7C"/>
    <w:rsid w:val="0FDD7E71"/>
    <w:rsid w:val="0FE57902"/>
    <w:rsid w:val="1031129A"/>
    <w:rsid w:val="105448C3"/>
    <w:rsid w:val="105F5EC3"/>
    <w:rsid w:val="10AC0576"/>
    <w:rsid w:val="10CD0B02"/>
    <w:rsid w:val="10CE6714"/>
    <w:rsid w:val="10F303F0"/>
    <w:rsid w:val="113B3B31"/>
    <w:rsid w:val="11684EBA"/>
    <w:rsid w:val="117B2A71"/>
    <w:rsid w:val="11BA39B4"/>
    <w:rsid w:val="11C62662"/>
    <w:rsid w:val="11E90597"/>
    <w:rsid w:val="1254446B"/>
    <w:rsid w:val="127B61BD"/>
    <w:rsid w:val="12B53E60"/>
    <w:rsid w:val="12CF28F3"/>
    <w:rsid w:val="13A00119"/>
    <w:rsid w:val="14181F67"/>
    <w:rsid w:val="146B2BAF"/>
    <w:rsid w:val="148A5A48"/>
    <w:rsid w:val="14BE127D"/>
    <w:rsid w:val="14D31644"/>
    <w:rsid w:val="14EF6308"/>
    <w:rsid w:val="152A7A30"/>
    <w:rsid w:val="1561396A"/>
    <w:rsid w:val="15BB3DCF"/>
    <w:rsid w:val="15C67C32"/>
    <w:rsid w:val="16594A5A"/>
    <w:rsid w:val="167649BA"/>
    <w:rsid w:val="167E7F89"/>
    <w:rsid w:val="16E86A1F"/>
    <w:rsid w:val="180876BB"/>
    <w:rsid w:val="18100B9E"/>
    <w:rsid w:val="18D369CC"/>
    <w:rsid w:val="18F0542A"/>
    <w:rsid w:val="18FC1D70"/>
    <w:rsid w:val="1927246A"/>
    <w:rsid w:val="196A3FBA"/>
    <w:rsid w:val="196B6D4E"/>
    <w:rsid w:val="198D2E27"/>
    <w:rsid w:val="19AC11BA"/>
    <w:rsid w:val="19C46E71"/>
    <w:rsid w:val="19E4484A"/>
    <w:rsid w:val="1A301A4A"/>
    <w:rsid w:val="1A433C04"/>
    <w:rsid w:val="1A6D236A"/>
    <w:rsid w:val="1AA5266E"/>
    <w:rsid w:val="1AED46BD"/>
    <w:rsid w:val="1B144A22"/>
    <w:rsid w:val="1B3C5E8A"/>
    <w:rsid w:val="1B4D1094"/>
    <w:rsid w:val="1B616B34"/>
    <w:rsid w:val="1B664CC4"/>
    <w:rsid w:val="1B7C55E4"/>
    <w:rsid w:val="1BA03917"/>
    <w:rsid w:val="1BAC5A13"/>
    <w:rsid w:val="1BB4079B"/>
    <w:rsid w:val="1BD5480B"/>
    <w:rsid w:val="1BF56F21"/>
    <w:rsid w:val="1BFD3251"/>
    <w:rsid w:val="1C3A504B"/>
    <w:rsid w:val="1C7125A5"/>
    <w:rsid w:val="1C895CD6"/>
    <w:rsid w:val="1CE07D5B"/>
    <w:rsid w:val="1CF115AD"/>
    <w:rsid w:val="1D1514AC"/>
    <w:rsid w:val="1D502A04"/>
    <w:rsid w:val="1D706841"/>
    <w:rsid w:val="1DB64A05"/>
    <w:rsid w:val="1DD623B1"/>
    <w:rsid w:val="1E0854B5"/>
    <w:rsid w:val="1E51428C"/>
    <w:rsid w:val="1EB15DD9"/>
    <w:rsid w:val="1EB469B3"/>
    <w:rsid w:val="1ED8128D"/>
    <w:rsid w:val="1F0724D3"/>
    <w:rsid w:val="1FA23A22"/>
    <w:rsid w:val="1FE52256"/>
    <w:rsid w:val="1FEC4F57"/>
    <w:rsid w:val="201E4451"/>
    <w:rsid w:val="20205A31"/>
    <w:rsid w:val="203939C7"/>
    <w:rsid w:val="20875B7E"/>
    <w:rsid w:val="20E46753"/>
    <w:rsid w:val="21953AB9"/>
    <w:rsid w:val="221A078A"/>
    <w:rsid w:val="229178D4"/>
    <w:rsid w:val="22E75275"/>
    <w:rsid w:val="22FC52FF"/>
    <w:rsid w:val="23003951"/>
    <w:rsid w:val="24460FC7"/>
    <w:rsid w:val="24D10095"/>
    <w:rsid w:val="258C20D1"/>
    <w:rsid w:val="25FD0D33"/>
    <w:rsid w:val="265F0549"/>
    <w:rsid w:val="26B3348F"/>
    <w:rsid w:val="26CD6C14"/>
    <w:rsid w:val="26DB213A"/>
    <w:rsid w:val="272618A6"/>
    <w:rsid w:val="272B71EB"/>
    <w:rsid w:val="27741140"/>
    <w:rsid w:val="277E46D2"/>
    <w:rsid w:val="27A0426B"/>
    <w:rsid w:val="27AF5A9E"/>
    <w:rsid w:val="28125FE3"/>
    <w:rsid w:val="281969EB"/>
    <w:rsid w:val="28CC0236"/>
    <w:rsid w:val="28DA7423"/>
    <w:rsid w:val="29267729"/>
    <w:rsid w:val="29707164"/>
    <w:rsid w:val="29911584"/>
    <w:rsid w:val="299417F4"/>
    <w:rsid w:val="299B6923"/>
    <w:rsid w:val="29A75B47"/>
    <w:rsid w:val="29B0474E"/>
    <w:rsid w:val="29C659A8"/>
    <w:rsid w:val="29E35FF2"/>
    <w:rsid w:val="2A4F63A1"/>
    <w:rsid w:val="2A521939"/>
    <w:rsid w:val="2AD94E30"/>
    <w:rsid w:val="2B05039C"/>
    <w:rsid w:val="2B180032"/>
    <w:rsid w:val="2B3D613A"/>
    <w:rsid w:val="2B972327"/>
    <w:rsid w:val="2C1E3E8B"/>
    <w:rsid w:val="2C2556FF"/>
    <w:rsid w:val="2C2D7B6A"/>
    <w:rsid w:val="2C2F2513"/>
    <w:rsid w:val="2C721B8B"/>
    <w:rsid w:val="2CA839D1"/>
    <w:rsid w:val="2CE009A6"/>
    <w:rsid w:val="2D2C6478"/>
    <w:rsid w:val="2D3256FF"/>
    <w:rsid w:val="2D3C46DF"/>
    <w:rsid w:val="2D455848"/>
    <w:rsid w:val="2D885186"/>
    <w:rsid w:val="2DDF0407"/>
    <w:rsid w:val="2DF96B0D"/>
    <w:rsid w:val="2E086ED2"/>
    <w:rsid w:val="2E2C4E54"/>
    <w:rsid w:val="2E313AEF"/>
    <w:rsid w:val="2E3A508D"/>
    <w:rsid w:val="2E8B31B6"/>
    <w:rsid w:val="2F8A4D97"/>
    <w:rsid w:val="2FA378D1"/>
    <w:rsid w:val="2FB9663B"/>
    <w:rsid w:val="30112604"/>
    <w:rsid w:val="301E6E45"/>
    <w:rsid w:val="304B1370"/>
    <w:rsid w:val="304C5976"/>
    <w:rsid w:val="30C7744D"/>
    <w:rsid w:val="30E07045"/>
    <w:rsid w:val="31041EF7"/>
    <w:rsid w:val="31A053DA"/>
    <w:rsid w:val="31FD6D48"/>
    <w:rsid w:val="32D55BE3"/>
    <w:rsid w:val="33055437"/>
    <w:rsid w:val="3341008B"/>
    <w:rsid w:val="33466B40"/>
    <w:rsid w:val="339A1647"/>
    <w:rsid w:val="33D6277F"/>
    <w:rsid w:val="33D757A9"/>
    <w:rsid w:val="33DD26F0"/>
    <w:rsid w:val="34035DE7"/>
    <w:rsid w:val="341651D5"/>
    <w:rsid w:val="3470025B"/>
    <w:rsid w:val="347B3B5B"/>
    <w:rsid w:val="348B0CB5"/>
    <w:rsid w:val="34DD12D6"/>
    <w:rsid w:val="34FE05B7"/>
    <w:rsid w:val="350102B3"/>
    <w:rsid w:val="35104286"/>
    <w:rsid w:val="354B6598"/>
    <w:rsid w:val="35844C35"/>
    <w:rsid w:val="35AF55CC"/>
    <w:rsid w:val="35D63AB5"/>
    <w:rsid w:val="35FF1E07"/>
    <w:rsid w:val="362D0D6B"/>
    <w:rsid w:val="366570C0"/>
    <w:rsid w:val="36A10D81"/>
    <w:rsid w:val="36D13699"/>
    <w:rsid w:val="36ED3E2D"/>
    <w:rsid w:val="3720548E"/>
    <w:rsid w:val="37214BAF"/>
    <w:rsid w:val="37A51E74"/>
    <w:rsid w:val="38345000"/>
    <w:rsid w:val="396C0CF4"/>
    <w:rsid w:val="3994232B"/>
    <w:rsid w:val="39C415AE"/>
    <w:rsid w:val="39D43DE0"/>
    <w:rsid w:val="3A0D61BA"/>
    <w:rsid w:val="3A1F3CD8"/>
    <w:rsid w:val="3B947A98"/>
    <w:rsid w:val="3BD95187"/>
    <w:rsid w:val="3BF52BD9"/>
    <w:rsid w:val="3C131568"/>
    <w:rsid w:val="3C6C67EC"/>
    <w:rsid w:val="3CC055BB"/>
    <w:rsid w:val="3CCE1E54"/>
    <w:rsid w:val="3CD915D3"/>
    <w:rsid w:val="3D156979"/>
    <w:rsid w:val="3D1F011C"/>
    <w:rsid w:val="3D2E690D"/>
    <w:rsid w:val="3D332E31"/>
    <w:rsid w:val="3D6466DC"/>
    <w:rsid w:val="3D6473A2"/>
    <w:rsid w:val="3D6C7208"/>
    <w:rsid w:val="3DDA497A"/>
    <w:rsid w:val="3E4716A9"/>
    <w:rsid w:val="3E472388"/>
    <w:rsid w:val="3E704458"/>
    <w:rsid w:val="3E736177"/>
    <w:rsid w:val="3E7D2000"/>
    <w:rsid w:val="3EAB1FCB"/>
    <w:rsid w:val="3EB9627B"/>
    <w:rsid w:val="3EEA03D4"/>
    <w:rsid w:val="3F14680E"/>
    <w:rsid w:val="3F25396C"/>
    <w:rsid w:val="3F636237"/>
    <w:rsid w:val="3F8A2017"/>
    <w:rsid w:val="3F98710B"/>
    <w:rsid w:val="3FA4277E"/>
    <w:rsid w:val="3FA502C9"/>
    <w:rsid w:val="3FDD2B15"/>
    <w:rsid w:val="3FDF5078"/>
    <w:rsid w:val="404437EF"/>
    <w:rsid w:val="407C7978"/>
    <w:rsid w:val="41837B99"/>
    <w:rsid w:val="41A80A7A"/>
    <w:rsid w:val="41B94B51"/>
    <w:rsid w:val="41DB13A7"/>
    <w:rsid w:val="41E21042"/>
    <w:rsid w:val="420B6C7C"/>
    <w:rsid w:val="421159E4"/>
    <w:rsid w:val="42297B52"/>
    <w:rsid w:val="42DE2533"/>
    <w:rsid w:val="42E44145"/>
    <w:rsid w:val="43711430"/>
    <w:rsid w:val="43762EFD"/>
    <w:rsid w:val="43A76ACD"/>
    <w:rsid w:val="43BB4BCF"/>
    <w:rsid w:val="43E82599"/>
    <w:rsid w:val="44087878"/>
    <w:rsid w:val="444569ED"/>
    <w:rsid w:val="448347B6"/>
    <w:rsid w:val="44AB0D1E"/>
    <w:rsid w:val="44E93D50"/>
    <w:rsid w:val="44F666C2"/>
    <w:rsid w:val="455A7974"/>
    <w:rsid w:val="458B2E3B"/>
    <w:rsid w:val="45FF27DF"/>
    <w:rsid w:val="466C686C"/>
    <w:rsid w:val="46797F23"/>
    <w:rsid w:val="46827EA9"/>
    <w:rsid w:val="47066A3D"/>
    <w:rsid w:val="471D412B"/>
    <w:rsid w:val="481326D0"/>
    <w:rsid w:val="48195880"/>
    <w:rsid w:val="481F18A1"/>
    <w:rsid w:val="48287A59"/>
    <w:rsid w:val="48981E6F"/>
    <w:rsid w:val="48984BFE"/>
    <w:rsid w:val="48AA2EE3"/>
    <w:rsid w:val="48CD25F0"/>
    <w:rsid w:val="48D1198D"/>
    <w:rsid w:val="48E75F09"/>
    <w:rsid w:val="491076D3"/>
    <w:rsid w:val="49603F03"/>
    <w:rsid w:val="498B7C86"/>
    <w:rsid w:val="4A3552CA"/>
    <w:rsid w:val="4A404B38"/>
    <w:rsid w:val="4AB61F34"/>
    <w:rsid w:val="4AF90689"/>
    <w:rsid w:val="4B9D4AD4"/>
    <w:rsid w:val="4BA83B38"/>
    <w:rsid w:val="4BFD0706"/>
    <w:rsid w:val="4C2C2BC4"/>
    <w:rsid w:val="4C2C3CC0"/>
    <w:rsid w:val="4C572E9B"/>
    <w:rsid w:val="4C874708"/>
    <w:rsid w:val="4CBA2276"/>
    <w:rsid w:val="4CCB5C9B"/>
    <w:rsid w:val="4D0834DB"/>
    <w:rsid w:val="4D502FFB"/>
    <w:rsid w:val="4DA75CD8"/>
    <w:rsid w:val="4DC90E03"/>
    <w:rsid w:val="4DCA06AC"/>
    <w:rsid w:val="4DF75424"/>
    <w:rsid w:val="4E60263C"/>
    <w:rsid w:val="4E7507E8"/>
    <w:rsid w:val="4F2F2911"/>
    <w:rsid w:val="4F8F4A63"/>
    <w:rsid w:val="4FEE4D44"/>
    <w:rsid w:val="500B1C59"/>
    <w:rsid w:val="500E18D3"/>
    <w:rsid w:val="503771D0"/>
    <w:rsid w:val="5038226E"/>
    <w:rsid w:val="50586DED"/>
    <w:rsid w:val="50C161FE"/>
    <w:rsid w:val="50DE4E0F"/>
    <w:rsid w:val="510C5169"/>
    <w:rsid w:val="513B261E"/>
    <w:rsid w:val="51B02D1B"/>
    <w:rsid w:val="51FC6E56"/>
    <w:rsid w:val="51FD7910"/>
    <w:rsid w:val="522A14D0"/>
    <w:rsid w:val="528A5B94"/>
    <w:rsid w:val="52E765DB"/>
    <w:rsid w:val="53130853"/>
    <w:rsid w:val="53A270DC"/>
    <w:rsid w:val="543F35C6"/>
    <w:rsid w:val="548446E7"/>
    <w:rsid w:val="54970CD4"/>
    <w:rsid w:val="54EF1112"/>
    <w:rsid w:val="54EF3FE2"/>
    <w:rsid w:val="54F524FC"/>
    <w:rsid w:val="55286A84"/>
    <w:rsid w:val="555C7863"/>
    <w:rsid w:val="55A6477A"/>
    <w:rsid w:val="55D278B0"/>
    <w:rsid w:val="55EB12C3"/>
    <w:rsid w:val="564B2134"/>
    <w:rsid w:val="56FF26BA"/>
    <w:rsid w:val="571E01AB"/>
    <w:rsid w:val="57290076"/>
    <w:rsid w:val="572F1CA6"/>
    <w:rsid w:val="57360056"/>
    <w:rsid w:val="574516AD"/>
    <w:rsid w:val="5747173F"/>
    <w:rsid w:val="576D6CF3"/>
    <w:rsid w:val="578E59F3"/>
    <w:rsid w:val="578F4CFC"/>
    <w:rsid w:val="57B96047"/>
    <w:rsid w:val="58170FA0"/>
    <w:rsid w:val="581A077B"/>
    <w:rsid w:val="583B0826"/>
    <w:rsid w:val="58B12E8C"/>
    <w:rsid w:val="59116DC4"/>
    <w:rsid w:val="59387383"/>
    <w:rsid w:val="59485E4C"/>
    <w:rsid w:val="598D6030"/>
    <w:rsid w:val="59D349D0"/>
    <w:rsid w:val="5A4350DF"/>
    <w:rsid w:val="5A641F9F"/>
    <w:rsid w:val="5A6C5534"/>
    <w:rsid w:val="5AB32BCB"/>
    <w:rsid w:val="5ADB0C12"/>
    <w:rsid w:val="5AEE1091"/>
    <w:rsid w:val="5B171AA0"/>
    <w:rsid w:val="5B39185F"/>
    <w:rsid w:val="5B43725A"/>
    <w:rsid w:val="5B951DD1"/>
    <w:rsid w:val="5BAA138B"/>
    <w:rsid w:val="5BAF5A48"/>
    <w:rsid w:val="5CAA45E2"/>
    <w:rsid w:val="5CF76BCA"/>
    <w:rsid w:val="5D571815"/>
    <w:rsid w:val="5D6765B4"/>
    <w:rsid w:val="5D6827D6"/>
    <w:rsid w:val="5D812966"/>
    <w:rsid w:val="5DE21A51"/>
    <w:rsid w:val="5DE66E33"/>
    <w:rsid w:val="5E4C7E34"/>
    <w:rsid w:val="5EB220E8"/>
    <w:rsid w:val="5F0561D6"/>
    <w:rsid w:val="5F220A03"/>
    <w:rsid w:val="5F5765FA"/>
    <w:rsid w:val="5FCA06D3"/>
    <w:rsid w:val="5FD11716"/>
    <w:rsid w:val="601C055A"/>
    <w:rsid w:val="60CD523C"/>
    <w:rsid w:val="60D14232"/>
    <w:rsid w:val="60DE65E1"/>
    <w:rsid w:val="61251C88"/>
    <w:rsid w:val="612E59DA"/>
    <w:rsid w:val="61755E45"/>
    <w:rsid w:val="618541BB"/>
    <w:rsid w:val="61D16936"/>
    <w:rsid w:val="62456E95"/>
    <w:rsid w:val="6248111C"/>
    <w:rsid w:val="624D2002"/>
    <w:rsid w:val="626830CF"/>
    <w:rsid w:val="62870727"/>
    <w:rsid w:val="62F536A5"/>
    <w:rsid w:val="62F910FD"/>
    <w:rsid w:val="630800E9"/>
    <w:rsid w:val="63083376"/>
    <w:rsid w:val="63541AD4"/>
    <w:rsid w:val="63845081"/>
    <w:rsid w:val="638D183B"/>
    <w:rsid w:val="639E7B93"/>
    <w:rsid w:val="63B720DA"/>
    <w:rsid w:val="63BD2B93"/>
    <w:rsid w:val="63DC796C"/>
    <w:rsid w:val="64137FE0"/>
    <w:rsid w:val="643A171D"/>
    <w:rsid w:val="643E520B"/>
    <w:rsid w:val="64762DC6"/>
    <w:rsid w:val="648B17DA"/>
    <w:rsid w:val="649F32CC"/>
    <w:rsid w:val="64A63F5B"/>
    <w:rsid w:val="64D237F0"/>
    <w:rsid w:val="64FB4F4A"/>
    <w:rsid w:val="657F764E"/>
    <w:rsid w:val="65852691"/>
    <w:rsid w:val="65A5061D"/>
    <w:rsid w:val="663767F5"/>
    <w:rsid w:val="66541EA8"/>
    <w:rsid w:val="66562EF5"/>
    <w:rsid w:val="66712017"/>
    <w:rsid w:val="66752338"/>
    <w:rsid w:val="66CC72BF"/>
    <w:rsid w:val="66EC01FA"/>
    <w:rsid w:val="66F6611A"/>
    <w:rsid w:val="6716427D"/>
    <w:rsid w:val="6763070C"/>
    <w:rsid w:val="678F7D73"/>
    <w:rsid w:val="67BB2495"/>
    <w:rsid w:val="67CB4693"/>
    <w:rsid w:val="68074462"/>
    <w:rsid w:val="68794E20"/>
    <w:rsid w:val="687A0E64"/>
    <w:rsid w:val="68CD5179"/>
    <w:rsid w:val="68E3105B"/>
    <w:rsid w:val="693A6188"/>
    <w:rsid w:val="69745005"/>
    <w:rsid w:val="697E1D86"/>
    <w:rsid w:val="699D13B7"/>
    <w:rsid w:val="69BA371C"/>
    <w:rsid w:val="69D136DB"/>
    <w:rsid w:val="6A51770A"/>
    <w:rsid w:val="6AD56BF1"/>
    <w:rsid w:val="6AE1272C"/>
    <w:rsid w:val="6AF422D4"/>
    <w:rsid w:val="6B4070D7"/>
    <w:rsid w:val="6B7254E7"/>
    <w:rsid w:val="6BE807D3"/>
    <w:rsid w:val="6BFC5743"/>
    <w:rsid w:val="6C001788"/>
    <w:rsid w:val="6C166828"/>
    <w:rsid w:val="6C2C75F5"/>
    <w:rsid w:val="6C517DE5"/>
    <w:rsid w:val="6C5A7142"/>
    <w:rsid w:val="6C847C80"/>
    <w:rsid w:val="6CAF710D"/>
    <w:rsid w:val="6CBA7DC0"/>
    <w:rsid w:val="6CCC2343"/>
    <w:rsid w:val="6CD55C2E"/>
    <w:rsid w:val="6CE139CD"/>
    <w:rsid w:val="6CF4452F"/>
    <w:rsid w:val="6D407AB7"/>
    <w:rsid w:val="6D4D01F7"/>
    <w:rsid w:val="6DBF08BC"/>
    <w:rsid w:val="6DE87F4F"/>
    <w:rsid w:val="6E4C6C88"/>
    <w:rsid w:val="6EA46A37"/>
    <w:rsid w:val="6EBA20A1"/>
    <w:rsid w:val="6EBC4832"/>
    <w:rsid w:val="6ED83757"/>
    <w:rsid w:val="6F135BAA"/>
    <w:rsid w:val="6F1E15DD"/>
    <w:rsid w:val="6F743DE8"/>
    <w:rsid w:val="6F9D6B4A"/>
    <w:rsid w:val="701129B6"/>
    <w:rsid w:val="703F3603"/>
    <w:rsid w:val="70515C36"/>
    <w:rsid w:val="70593E91"/>
    <w:rsid w:val="713740B6"/>
    <w:rsid w:val="714F7A18"/>
    <w:rsid w:val="716103D7"/>
    <w:rsid w:val="71F210B9"/>
    <w:rsid w:val="723206C8"/>
    <w:rsid w:val="72A64934"/>
    <w:rsid w:val="72B00368"/>
    <w:rsid w:val="72E37D12"/>
    <w:rsid w:val="72FD3C2C"/>
    <w:rsid w:val="730A469D"/>
    <w:rsid w:val="731B3380"/>
    <w:rsid w:val="73256F2A"/>
    <w:rsid w:val="73273F9A"/>
    <w:rsid w:val="73457964"/>
    <w:rsid w:val="73A30B67"/>
    <w:rsid w:val="73C74C70"/>
    <w:rsid w:val="73F94E57"/>
    <w:rsid w:val="742A624D"/>
    <w:rsid w:val="74447905"/>
    <w:rsid w:val="74C41ECF"/>
    <w:rsid w:val="74EA7A8E"/>
    <w:rsid w:val="751844FD"/>
    <w:rsid w:val="75257196"/>
    <w:rsid w:val="754D38F0"/>
    <w:rsid w:val="755022F3"/>
    <w:rsid w:val="757642DF"/>
    <w:rsid w:val="75BF2E7A"/>
    <w:rsid w:val="75E379E8"/>
    <w:rsid w:val="75F763E7"/>
    <w:rsid w:val="764B34A4"/>
    <w:rsid w:val="76702892"/>
    <w:rsid w:val="7683514D"/>
    <w:rsid w:val="76C25DE1"/>
    <w:rsid w:val="76E05ACF"/>
    <w:rsid w:val="77500D66"/>
    <w:rsid w:val="77611EC3"/>
    <w:rsid w:val="7772513A"/>
    <w:rsid w:val="77BD7FB6"/>
    <w:rsid w:val="77CF23A6"/>
    <w:rsid w:val="77FE2774"/>
    <w:rsid w:val="785F446E"/>
    <w:rsid w:val="786102BD"/>
    <w:rsid w:val="78B128F0"/>
    <w:rsid w:val="78C47505"/>
    <w:rsid w:val="78CD0F77"/>
    <w:rsid w:val="78D13B38"/>
    <w:rsid w:val="78DB15B3"/>
    <w:rsid w:val="79407ACA"/>
    <w:rsid w:val="79543385"/>
    <w:rsid w:val="797707E8"/>
    <w:rsid w:val="79A50C75"/>
    <w:rsid w:val="7A443C70"/>
    <w:rsid w:val="7A6E19DE"/>
    <w:rsid w:val="7AA85FC8"/>
    <w:rsid w:val="7AB82F03"/>
    <w:rsid w:val="7AE42066"/>
    <w:rsid w:val="7AEC1C6D"/>
    <w:rsid w:val="7B221BA0"/>
    <w:rsid w:val="7B60457C"/>
    <w:rsid w:val="7B7258DC"/>
    <w:rsid w:val="7B976387"/>
    <w:rsid w:val="7BA1041E"/>
    <w:rsid w:val="7BEA0518"/>
    <w:rsid w:val="7BFD5D1A"/>
    <w:rsid w:val="7C9B5013"/>
    <w:rsid w:val="7D0A2C60"/>
    <w:rsid w:val="7D262BC4"/>
    <w:rsid w:val="7D447BF4"/>
    <w:rsid w:val="7D457616"/>
    <w:rsid w:val="7D6F1C2F"/>
    <w:rsid w:val="7D8E6354"/>
    <w:rsid w:val="7DB03C10"/>
    <w:rsid w:val="7DB079A6"/>
    <w:rsid w:val="7E143F83"/>
    <w:rsid w:val="7E396ADD"/>
    <w:rsid w:val="7F5948DE"/>
    <w:rsid w:val="7F6D05BA"/>
    <w:rsid w:val="7F762ACB"/>
    <w:rsid w:val="7F817A62"/>
    <w:rsid w:val="7F86780A"/>
    <w:rsid w:val="7FBF53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520" w:lineRule="exact"/>
      <w:ind w:firstLine="480" w:firstLineChars="200"/>
      <w:jc w:val="both"/>
    </w:pPr>
    <w:rPr>
      <w:rFonts w:ascii="Times New Roman" w:hAnsi="Times New Roman" w:cs="Times New Roman" w:eastAsiaTheme="minorEastAsia"/>
      <w:kern w:val="2"/>
      <w:sz w:val="24"/>
      <w:szCs w:val="24"/>
      <w:lang w:val="en-US" w:eastAsia="zh-CN" w:bidi="ar-SA"/>
    </w:rPr>
  </w:style>
  <w:style w:type="paragraph" w:styleId="2">
    <w:name w:val="heading 1"/>
    <w:basedOn w:val="1"/>
    <w:next w:val="1"/>
    <w:qFormat/>
    <w:uiPriority w:val="0"/>
    <w:pPr>
      <w:keepNext/>
      <w:ind w:firstLine="0" w:firstLineChars="0"/>
      <w:outlineLvl w:val="0"/>
    </w:pPr>
    <w:rPr>
      <w:rFonts w:eastAsia="宋体"/>
      <w:b/>
      <w:bCs/>
      <w:kern w:val="44"/>
      <w:sz w:val="30"/>
      <w:szCs w:val="30"/>
    </w:rPr>
  </w:style>
  <w:style w:type="paragraph" w:styleId="3">
    <w:name w:val="heading 2"/>
    <w:basedOn w:val="1"/>
    <w:next w:val="1"/>
    <w:unhideWhenUsed/>
    <w:qFormat/>
    <w:uiPriority w:val="0"/>
    <w:pPr>
      <w:keepNext/>
      <w:ind w:firstLine="0" w:firstLineChars="0"/>
      <w:outlineLvl w:val="1"/>
    </w:pPr>
    <w:rPr>
      <w:rFonts w:eastAsia="宋体"/>
      <w:b/>
      <w:bCs/>
      <w:sz w:val="28"/>
      <w:szCs w:val="28"/>
    </w:rPr>
  </w:style>
  <w:style w:type="paragraph" w:styleId="4">
    <w:name w:val="heading 3"/>
    <w:basedOn w:val="1"/>
    <w:next w:val="1"/>
    <w:unhideWhenUsed/>
    <w:qFormat/>
    <w:uiPriority w:val="0"/>
    <w:pPr>
      <w:keepNext/>
      <w:keepLines/>
      <w:ind w:firstLine="0" w:firstLineChars="0"/>
      <w:outlineLvl w:val="2"/>
    </w:pPr>
    <w:rPr>
      <w:rFonts w:eastAsia="宋体"/>
      <w:b/>
      <w:bCs/>
    </w:rPr>
  </w:style>
  <w:style w:type="character" w:default="1" w:styleId="23">
    <w:name w:val="Default Paragraph Font"/>
    <w:semiHidden/>
    <w:unhideWhenUsed/>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7"/>
    <w:qFormat/>
    <w:uiPriority w:val="0"/>
    <w:rPr>
      <w:b/>
      <w:bCs/>
    </w:rPr>
  </w:style>
  <w:style w:type="paragraph" w:styleId="6">
    <w:name w:val="annotation text"/>
    <w:basedOn w:val="1"/>
    <w:link w:val="36"/>
    <w:qFormat/>
    <w:uiPriority w:val="0"/>
    <w:pPr>
      <w:jc w:val="left"/>
    </w:pPr>
  </w:style>
  <w:style w:type="paragraph" w:styleId="7">
    <w:name w:val="Body Text First Indent"/>
    <w:basedOn w:val="8"/>
    <w:link w:val="52"/>
    <w:semiHidden/>
    <w:unhideWhenUsed/>
    <w:uiPriority w:val="0"/>
    <w:pPr>
      <w:ind w:firstLine="420" w:firstLineChars="100"/>
    </w:pPr>
  </w:style>
  <w:style w:type="paragraph" w:styleId="8">
    <w:name w:val="Body Text"/>
    <w:basedOn w:val="1"/>
    <w:link w:val="51"/>
    <w:semiHidden/>
    <w:unhideWhenUsed/>
    <w:uiPriority w:val="0"/>
    <w:pPr>
      <w:spacing w:after="120"/>
    </w:pPr>
  </w:style>
  <w:style w:type="paragraph" w:styleId="9">
    <w:name w:val="Normal Indent"/>
    <w:basedOn w:val="1"/>
    <w:link w:val="58"/>
    <w:unhideWhenUsed/>
    <w:qFormat/>
    <w:uiPriority w:val="0"/>
    <w:pPr>
      <w:ind w:firstLine="420"/>
    </w:pPr>
  </w:style>
  <w:style w:type="paragraph" w:styleId="10">
    <w:name w:val="Document Map"/>
    <w:basedOn w:val="1"/>
    <w:link w:val="41"/>
    <w:unhideWhenUsed/>
    <w:qFormat/>
    <w:uiPriority w:val="0"/>
    <w:rPr>
      <w:rFonts w:ascii="宋体" w:eastAsia="宋体"/>
      <w:sz w:val="18"/>
      <w:szCs w:val="18"/>
    </w:rPr>
  </w:style>
  <w:style w:type="paragraph" w:styleId="11">
    <w:name w:val="Body Text Indent"/>
    <w:basedOn w:val="1"/>
    <w:qFormat/>
    <w:uiPriority w:val="0"/>
    <w:pPr>
      <w:ind w:firstLine="630"/>
    </w:pPr>
    <w:rPr>
      <w:rFonts w:ascii="宋体" w:hAnsi="宋体"/>
      <w:color w:val="000000"/>
      <w:kern w:val="1"/>
      <w:sz w:val="32"/>
      <w:szCs w:val="20"/>
    </w:rPr>
  </w:style>
  <w:style w:type="paragraph" w:styleId="12">
    <w:name w:val="toc 3"/>
    <w:basedOn w:val="1"/>
    <w:next w:val="1"/>
    <w:unhideWhenUsed/>
    <w:uiPriority w:val="39"/>
    <w:pPr>
      <w:ind w:left="840" w:leftChars="400"/>
    </w:pPr>
  </w:style>
  <w:style w:type="paragraph" w:styleId="13">
    <w:name w:val="Plain Text"/>
    <w:basedOn w:val="1"/>
    <w:link w:val="54"/>
    <w:qFormat/>
    <w:uiPriority w:val="0"/>
    <w:rPr>
      <w:rFonts w:ascii="宋体" w:hAnsi="Courier New"/>
      <w:kern w:val="0"/>
      <w:szCs w:val="20"/>
    </w:rPr>
  </w:style>
  <w:style w:type="paragraph" w:styleId="14">
    <w:name w:val="Date"/>
    <w:basedOn w:val="1"/>
    <w:next w:val="1"/>
    <w:link w:val="55"/>
    <w:semiHidden/>
    <w:unhideWhenUsed/>
    <w:uiPriority w:val="0"/>
    <w:pPr>
      <w:ind w:left="100" w:leftChars="2500"/>
    </w:pPr>
  </w:style>
  <w:style w:type="paragraph" w:styleId="15">
    <w:name w:val="Balloon Text"/>
    <w:basedOn w:val="1"/>
    <w:link w:val="38"/>
    <w:qFormat/>
    <w:uiPriority w:val="0"/>
    <w:rPr>
      <w:sz w:val="18"/>
      <w:szCs w:val="18"/>
    </w:rPr>
  </w:style>
  <w:style w:type="paragraph" w:styleId="16">
    <w:name w:val="footer"/>
    <w:basedOn w:val="1"/>
    <w:link w:val="56"/>
    <w:qFormat/>
    <w:uiPriority w:val="99"/>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style>
  <w:style w:type="paragraph" w:styleId="19">
    <w:name w:val="Subtitle"/>
    <w:basedOn w:val="1"/>
    <w:next w:val="1"/>
    <w:link w:val="42"/>
    <w:qFormat/>
    <w:uiPriority w:val="0"/>
    <w:pPr>
      <w:spacing w:before="240" w:after="60" w:line="312" w:lineRule="auto"/>
      <w:jc w:val="center"/>
      <w:outlineLvl w:val="1"/>
    </w:pPr>
    <w:rPr>
      <w:rFonts w:eastAsia="宋体" w:asciiTheme="majorHAnsi" w:hAnsiTheme="majorHAnsi" w:cstheme="majorBidi"/>
      <w:b/>
      <w:bCs/>
      <w:kern w:val="28"/>
      <w:sz w:val="32"/>
      <w:szCs w:val="32"/>
    </w:rPr>
  </w:style>
  <w:style w:type="paragraph" w:styleId="20">
    <w:name w:val="toc 2"/>
    <w:basedOn w:val="1"/>
    <w:next w:val="1"/>
    <w:qFormat/>
    <w:uiPriority w:val="39"/>
    <w:pPr>
      <w:ind w:left="420" w:leftChars="200"/>
    </w:pPr>
  </w:style>
  <w:style w:type="paragraph" w:styleId="21">
    <w:name w:val="Body Text 2"/>
    <w:basedOn w:val="1"/>
    <w:link w:val="67"/>
    <w:unhideWhenUsed/>
    <w:uiPriority w:val="0"/>
    <w:pPr>
      <w:spacing w:after="120" w:line="480" w:lineRule="auto"/>
    </w:pPr>
  </w:style>
  <w:style w:type="paragraph" w:styleId="22">
    <w:name w:val="index 1"/>
    <w:basedOn w:val="1"/>
    <w:next w:val="1"/>
    <w:uiPriority w:val="0"/>
    <w:pPr>
      <w:spacing w:line="312" w:lineRule="auto"/>
      <w:ind w:firstLine="0" w:firstLineChars="0"/>
      <w:jc w:val="center"/>
    </w:pPr>
    <w:rPr>
      <w:rFonts w:eastAsia="宋体"/>
      <w:color w:val="FF0000"/>
      <w:sz w:val="21"/>
      <w:szCs w:val="21"/>
    </w:rPr>
  </w:style>
  <w:style w:type="character" w:styleId="24">
    <w:name w:val="Emphasis"/>
    <w:basedOn w:val="23"/>
    <w:qFormat/>
    <w:uiPriority w:val="0"/>
    <w:rPr>
      <w:i/>
      <w:iCs/>
    </w:rPr>
  </w:style>
  <w:style w:type="character" w:styleId="25">
    <w:name w:val="Hyperlink"/>
    <w:basedOn w:val="23"/>
    <w:qFormat/>
    <w:uiPriority w:val="99"/>
    <w:rPr>
      <w:color w:val="0000FF"/>
      <w:u w:val="single"/>
    </w:rPr>
  </w:style>
  <w:style w:type="character" w:styleId="26">
    <w:name w:val="annotation reference"/>
    <w:basedOn w:val="23"/>
    <w:qFormat/>
    <w:uiPriority w:val="0"/>
    <w:rPr>
      <w:sz w:val="21"/>
      <w:szCs w:val="21"/>
    </w:rPr>
  </w:style>
  <w:style w:type="table" w:styleId="28">
    <w:name w:val="Table Grid"/>
    <w:basedOn w:val="2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29">
    <w:name w:val="List Paragraph1"/>
    <w:basedOn w:val="1"/>
    <w:qFormat/>
    <w:uiPriority w:val="99"/>
    <w:pPr>
      <w:ind w:firstLine="420"/>
    </w:pPr>
  </w:style>
  <w:style w:type="paragraph" w:customStyle="1" w:styleId="30">
    <w:name w:val="列出段落1"/>
    <w:basedOn w:val="1"/>
    <w:qFormat/>
    <w:uiPriority w:val="34"/>
    <w:pPr>
      <w:ind w:firstLine="420"/>
    </w:pPr>
  </w:style>
  <w:style w:type="paragraph" w:customStyle="1" w:styleId="31">
    <w:name w:val="环评2"/>
    <w:basedOn w:val="3"/>
    <w:qFormat/>
    <w:uiPriority w:val="0"/>
    <w:pPr>
      <w:spacing w:beforeLines="50"/>
    </w:pPr>
  </w:style>
  <w:style w:type="paragraph" w:customStyle="1" w:styleId="32">
    <w:name w:val="列出段落3"/>
    <w:basedOn w:val="1"/>
    <w:qFormat/>
    <w:uiPriority w:val="34"/>
    <w:pPr>
      <w:ind w:firstLine="420"/>
    </w:pPr>
  </w:style>
  <w:style w:type="paragraph" w:customStyle="1" w:styleId="33">
    <w:name w:val="环评1"/>
    <w:basedOn w:val="2"/>
    <w:qFormat/>
    <w:uiPriority w:val="0"/>
    <w:pPr>
      <w:spacing w:beforeLines="100"/>
    </w:pPr>
  </w:style>
  <w:style w:type="paragraph" w:customStyle="1" w:styleId="34">
    <w:name w:val="表格内容"/>
    <w:basedOn w:val="1"/>
    <w:qFormat/>
    <w:uiPriority w:val="0"/>
    <w:pPr>
      <w:snapToGrid w:val="0"/>
      <w:spacing w:line="240" w:lineRule="auto"/>
      <w:ind w:firstLine="0" w:firstLineChars="0"/>
      <w:jc w:val="center"/>
      <w:textAlignment w:val="baseline"/>
    </w:pPr>
    <w:rPr>
      <w:rFonts w:eastAsia="宋体"/>
      <w:color w:val="000000"/>
      <w:kern w:val="0"/>
      <w:sz w:val="21"/>
      <w:szCs w:val="21"/>
    </w:rPr>
  </w:style>
  <w:style w:type="paragraph" w:customStyle="1" w:styleId="35">
    <w:name w:val="表格"/>
    <w:basedOn w:val="1"/>
    <w:link w:val="49"/>
    <w:qFormat/>
    <w:uiPriority w:val="0"/>
    <w:pPr>
      <w:jc w:val="center"/>
    </w:pPr>
    <w:rPr>
      <w:rFonts w:ascii="宋体" w:hAnsi="宋体"/>
    </w:rPr>
  </w:style>
  <w:style w:type="character" w:customStyle="1" w:styleId="36">
    <w:name w:val="批注文字 Char"/>
    <w:basedOn w:val="23"/>
    <w:link w:val="6"/>
    <w:qFormat/>
    <w:uiPriority w:val="0"/>
    <w:rPr>
      <w:rFonts w:asciiTheme="minorHAnsi" w:hAnsiTheme="minorHAnsi" w:eastAsiaTheme="minorEastAsia" w:cstheme="minorBidi"/>
      <w:kern w:val="2"/>
      <w:sz w:val="21"/>
      <w:szCs w:val="22"/>
    </w:rPr>
  </w:style>
  <w:style w:type="character" w:customStyle="1" w:styleId="37">
    <w:name w:val="批注主题 Char"/>
    <w:basedOn w:val="36"/>
    <w:link w:val="5"/>
    <w:qFormat/>
    <w:uiPriority w:val="0"/>
    <w:rPr>
      <w:rFonts w:asciiTheme="minorHAnsi" w:hAnsiTheme="minorHAnsi" w:eastAsiaTheme="minorEastAsia" w:cstheme="minorBidi"/>
      <w:kern w:val="2"/>
      <w:sz w:val="21"/>
      <w:szCs w:val="22"/>
    </w:rPr>
  </w:style>
  <w:style w:type="character" w:customStyle="1" w:styleId="38">
    <w:name w:val="批注框文本 Char"/>
    <w:basedOn w:val="23"/>
    <w:link w:val="15"/>
    <w:qFormat/>
    <w:uiPriority w:val="0"/>
    <w:rPr>
      <w:rFonts w:asciiTheme="minorHAnsi" w:hAnsiTheme="minorHAnsi" w:eastAsiaTheme="minorEastAsia" w:cstheme="minorBidi"/>
      <w:kern w:val="2"/>
      <w:sz w:val="18"/>
      <w:szCs w:val="18"/>
    </w:rPr>
  </w:style>
  <w:style w:type="paragraph" w:customStyle="1" w:styleId="39">
    <w:name w:val="表格格式"/>
    <w:basedOn w:val="1"/>
    <w:link w:val="40"/>
    <w:qFormat/>
    <w:uiPriority w:val="0"/>
    <w:pPr>
      <w:spacing w:line="300" w:lineRule="exact"/>
      <w:jc w:val="center"/>
    </w:pPr>
    <w:rPr>
      <w:rFonts w:ascii="宋体" w:hAnsi="Calibri" w:eastAsia="宋体"/>
    </w:rPr>
  </w:style>
  <w:style w:type="character" w:customStyle="1" w:styleId="40">
    <w:name w:val="表格格式 Char"/>
    <w:link w:val="39"/>
    <w:qFormat/>
    <w:uiPriority w:val="0"/>
    <w:rPr>
      <w:rFonts w:ascii="宋体" w:hAnsi="Calibri"/>
      <w:kern w:val="2"/>
      <w:sz w:val="21"/>
      <w:szCs w:val="22"/>
    </w:rPr>
  </w:style>
  <w:style w:type="character" w:customStyle="1" w:styleId="41">
    <w:name w:val="文档结构图 Char"/>
    <w:basedOn w:val="23"/>
    <w:link w:val="10"/>
    <w:semiHidden/>
    <w:qFormat/>
    <w:uiPriority w:val="0"/>
    <w:rPr>
      <w:rFonts w:ascii="宋体" w:cstheme="minorBidi"/>
      <w:kern w:val="2"/>
      <w:sz w:val="18"/>
      <w:szCs w:val="18"/>
    </w:rPr>
  </w:style>
  <w:style w:type="character" w:customStyle="1" w:styleId="42">
    <w:name w:val="副标题 Char"/>
    <w:basedOn w:val="23"/>
    <w:link w:val="19"/>
    <w:qFormat/>
    <w:uiPriority w:val="0"/>
    <w:rPr>
      <w:rFonts w:asciiTheme="majorHAnsi" w:hAnsiTheme="majorHAnsi" w:cstheme="majorBidi"/>
      <w:b/>
      <w:bCs/>
      <w:kern w:val="28"/>
      <w:sz w:val="32"/>
      <w:szCs w:val="32"/>
    </w:rPr>
  </w:style>
  <w:style w:type="paragraph" w:customStyle="1" w:styleId="43">
    <w:name w:val="列出段落2"/>
    <w:basedOn w:val="1"/>
    <w:unhideWhenUsed/>
    <w:qFormat/>
    <w:uiPriority w:val="99"/>
    <w:pPr>
      <w:ind w:firstLine="420"/>
    </w:pPr>
  </w:style>
  <w:style w:type="paragraph" w:customStyle="1" w:styleId="44">
    <w:name w:val="修订1"/>
    <w:hidden/>
    <w:unhideWhenUsed/>
    <w:qFormat/>
    <w:uiPriority w:val="99"/>
    <w:rPr>
      <w:rFonts w:ascii="Times New Roman" w:hAnsi="Times New Roman" w:eastAsiaTheme="minorEastAsia" w:cstheme="minorBidi"/>
      <w:kern w:val="2"/>
      <w:sz w:val="24"/>
      <w:szCs w:val="24"/>
      <w:lang w:val="en-US" w:eastAsia="zh-CN" w:bidi="ar-SA"/>
    </w:rPr>
  </w:style>
  <w:style w:type="paragraph" w:customStyle="1" w:styleId="45">
    <w:name w:val="表头"/>
    <w:basedOn w:val="1"/>
    <w:qFormat/>
    <w:uiPriority w:val="0"/>
    <w:pPr>
      <w:keepNext/>
      <w:ind w:firstLine="0" w:firstLineChars="0"/>
      <w:jc w:val="center"/>
    </w:pPr>
    <w:rPr>
      <w:b/>
      <w:bCs/>
      <w:sz w:val="21"/>
      <w:szCs w:val="21"/>
    </w:rPr>
  </w:style>
  <w:style w:type="paragraph" w:customStyle="1" w:styleId="46">
    <w:name w:val="报告书表格"/>
    <w:basedOn w:val="1"/>
    <w:qFormat/>
    <w:uiPriority w:val="0"/>
    <w:pPr>
      <w:spacing w:before="60" w:after="60" w:line="240" w:lineRule="atLeast"/>
      <w:jc w:val="center"/>
    </w:pPr>
    <w:rPr>
      <w:rFonts w:eastAsia="宋体"/>
      <w:kern w:val="0"/>
      <w:sz w:val="21"/>
      <w:szCs w:val="20"/>
    </w:rPr>
  </w:style>
  <w:style w:type="paragraph" w:customStyle="1" w:styleId="47">
    <w:name w:val="列出段落4"/>
    <w:basedOn w:val="1"/>
    <w:qFormat/>
    <w:uiPriority w:val="34"/>
    <w:pPr>
      <w:ind w:firstLine="420"/>
    </w:pPr>
    <w:rPr>
      <w:rFonts w:asciiTheme="minorHAnsi" w:hAnsiTheme="minorHAnsi"/>
    </w:rPr>
  </w:style>
  <w:style w:type="paragraph" w:customStyle="1" w:styleId="48">
    <w:name w:val="正文小四"/>
    <w:basedOn w:val="1"/>
    <w:qFormat/>
    <w:uiPriority w:val="0"/>
    <w:pPr>
      <w:spacing w:line="460" w:lineRule="exact"/>
      <w:ind w:firstLine="600"/>
    </w:pPr>
    <w:rPr>
      <w:rFonts w:ascii="宋体" w:hAnsi="宋体"/>
      <w:spacing w:val="30"/>
      <w:kern w:val="24"/>
    </w:rPr>
  </w:style>
  <w:style w:type="character" w:customStyle="1" w:styleId="49">
    <w:name w:val="表格 Char"/>
    <w:link w:val="35"/>
    <w:qFormat/>
    <w:uiPriority w:val="0"/>
    <w:rPr>
      <w:rFonts w:ascii="宋体" w:hAnsi="宋体" w:eastAsiaTheme="minorEastAsia" w:cstheme="minorBidi"/>
      <w:kern w:val="2"/>
      <w:sz w:val="24"/>
      <w:szCs w:val="24"/>
    </w:rPr>
  </w:style>
  <w:style w:type="paragraph" w:customStyle="1" w:styleId="50">
    <w:name w:val="表格1"/>
    <w:basedOn w:val="9"/>
    <w:next w:val="9"/>
    <w:qFormat/>
    <w:uiPriority w:val="0"/>
    <w:pPr>
      <w:snapToGrid w:val="0"/>
      <w:spacing w:line="340" w:lineRule="exact"/>
      <w:ind w:firstLine="0" w:firstLineChars="0"/>
      <w:jc w:val="center"/>
    </w:pPr>
    <w:rPr>
      <w:rFonts w:eastAsia="宋体"/>
      <w:sz w:val="21"/>
      <w:szCs w:val="20"/>
    </w:rPr>
  </w:style>
  <w:style w:type="character" w:customStyle="1" w:styleId="51">
    <w:name w:val="正文文本 Char"/>
    <w:basedOn w:val="23"/>
    <w:link w:val="8"/>
    <w:semiHidden/>
    <w:uiPriority w:val="0"/>
    <w:rPr>
      <w:rFonts w:eastAsiaTheme="minorEastAsia" w:cstheme="minorBidi"/>
      <w:kern w:val="2"/>
      <w:sz w:val="24"/>
      <w:szCs w:val="24"/>
    </w:rPr>
  </w:style>
  <w:style w:type="character" w:customStyle="1" w:styleId="52">
    <w:name w:val="正文首行缩进 Char"/>
    <w:basedOn w:val="51"/>
    <w:link w:val="7"/>
    <w:semiHidden/>
    <w:uiPriority w:val="0"/>
  </w:style>
  <w:style w:type="paragraph" w:styleId="53">
    <w:name w:val="List Paragraph"/>
    <w:basedOn w:val="1"/>
    <w:unhideWhenUsed/>
    <w:uiPriority w:val="99"/>
    <w:pPr>
      <w:ind w:firstLine="420"/>
    </w:pPr>
  </w:style>
  <w:style w:type="character" w:customStyle="1" w:styleId="54">
    <w:name w:val="纯文本 Char"/>
    <w:link w:val="13"/>
    <w:uiPriority w:val="0"/>
    <w:rPr>
      <w:rFonts w:ascii="宋体" w:hAnsi="Courier New" w:eastAsiaTheme="minorEastAsia" w:cstheme="minorBidi"/>
      <w:sz w:val="24"/>
    </w:rPr>
  </w:style>
  <w:style w:type="character" w:customStyle="1" w:styleId="55">
    <w:name w:val="日期 Char"/>
    <w:basedOn w:val="23"/>
    <w:link w:val="14"/>
    <w:semiHidden/>
    <w:uiPriority w:val="0"/>
    <w:rPr>
      <w:rFonts w:eastAsiaTheme="minorEastAsia" w:cstheme="minorBidi"/>
      <w:kern w:val="2"/>
      <w:sz w:val="24"/>
      <w:szCs w:val="24"/>
    </w:rPr>
  </w:style>
  <w:style w:type="character" w:customStyle="1" w:styleId="56">
    <w:name w:val="页脚 Char"/>
    <w:basedOn w:val="23"/>
    <w:link w:val="16"/>
    <w:uiPriority w:val="99"/>
    <w:rPr>
      <w:rFonts w:eastAsiaTheme="minorEastAsia" w:cstheme="minorBidi"/>
      <w:kern w:val="2"/>
      <w:sz w:val="18"/>
      <w:szCs w:val="24"/>
    </w:rPr>
  </w:style>
  <w:style w:type="paragraph" w:customStyle="1" w:styleId="57">
    <w:name w:val="普通(网站)1"/>
    <w:basedOn w:val="1"/>
    <w:qFormat/>
    <w:uiPriority w:val="0"/>
    <w:pPr>
      <w:widowControl/>
      <w:spacing w:beforeAutospacing="1" w:after="200" w:afterAutospacing="1" w:line="240" w:lineRule="auto"/>
      <w:ind w:firstLine="0" w:firstLineChars="0"/>
      <w:jc w:val="left"/>
    </w:pPr>
    <w:rPr>
      <w:rFonts w:ascii="宋体" w:hAnsi="宋体" w:eastAsia="宋体" w:cs="宋体"/>
      <w:kern w:val="0"/>
    </w:rPr>
  </w:style>
  <w:style w:type="character" w:customStyle="1" w:styleId="58">
    <w:name w:val="正文缩进 Char"/>
    <w:link w:val="9"/>
    <w:uiPriority w:val="0"/>
    <w:rPr>
      <w:rFonts w:eastAsiaTheme="minorEastAsia" w:cstheme="minorBidi"/>
      <w:kern w:val="2"/>
      <w:sz w:val="24"/>
      <w:szCs w:val="24"/>
    </w:rPr>
  </w:style>
  <w:style w:type="paragraph" w:customStyle="1" w:styleId="59">
    <w:name w:val="表格样式"/>
    <w:basedOn w:val="1"/>
    <w:qFormat/>
    <w:uiPriority w:val="99"/>
    <w:pPr>
      <w:spacing w:line="240" w:lineRule="auto"/>
      <w:ind w:firstLine="0" w:firstLineChars="0"/>
      <w:jc w:val="center"/>
    </w:pPr>
    <w:rPr>
      <w:rFonts w:eastAsia="宋体"/>
      <w:sz w:val="21"/>
    </w:rPr>
  </w:style>
  <w:style w:type="paragraph" w:customStyle="1" w:styleId="60">
    <w:name w:val="样式1"/>
    <w:basedOn w:val="1"/>
    <w:qFormat/>
    <w:uiPriority w:val="0"/>
    <w:pPr>
      <w:spacing w:line="240" w:lineRule="auto"/>
      <w:ind w:firstLine="0" w:firstLineChars="0"/>
      <w:jc w:val="center"/>
    </w:pPr>
    <w:rPr>
      <w:rFonts w:eastAsia="宋体"/>
      <w:sz w:val="21"/>
    </w:rPr>
  </w:style>
  <w:style w:type="paragraph" w:customStyle="1" w:styleId="61">
    <w:name w:val="Char1 Char Char Char"/>
    <w:basedOn w:val="1"/>
    <w:qFormat/>
    <w:uiPriority w:val="0"/>
    <w:pPr>
      <w:spacing w:line="240" w:lineRule="atLeast"/>
      <w:ind w:firstLine="200"/>
    </w:pPr>
    <w:rPr>
      <w:rFonts w:eastAsia="宋体"/>
    </w:rPr>
  </w:style>
  <w:style w:type="paragraph" w:customStyle="1" w:styleId="62">
    <w:name w:val="表内文字"/>
    <w:basedOn w:val="1"/>
    <w:uiPriority w:val="0"/>
    <w:pPr>
      <w:spacing w:line="0" w:lineRule="atLeast"/>
      <w:ind w:firstLine="0" w:firstLineChars="0"/>
      <w:jc w:val="center"/>
    </w:pPr>
    <w:rPr>
      <w:rFonts w:eastAsia="宋体"/>
      <w:color w:val="000000"/>
      <w:sz w:val="18"/>
      <w:szCs w:val="20"/>
    </w:rPr>
  </w:style>
  <w:style w:type="paragraph" w:customStyle="1" w:styleId="63">
    <w:name w:val="表格内容居中"/>
    <w:qFormat/>
    <w:uiPriority w:val="0"/>
    <w:pPr>
      <w:adjustRightInd w:val="0"/>
      <w:snapToGrid w:val="0"/>
      <w:jc w:val="center"/>
    </w:pPr>
    <w:rPr>
      <w:rFonts w:ascii="Times New Roman" w:hAnsi="Times New Roman" w:eastAsia="宋体" w:cs="Times New Roman"/>
      <w:snapToGrid w:val="0"/>
      <w:sz w:val="21"/>
      <w:lang w:val="en-US" w:eastAsia="zh-CN" w:bidi="ar-SA"/>
    </w:rPr>
  </w:style>
  <w:style w:type="character" w:customStyle="1" w:styleId="64">
    <w:name w:val="正文文字 Char"/>
    <w:basedOn w:val="23"/>
    <w:qFormat/>
    <w:uiPriority w:val="0"/>
    <w:rPr>
      <w:rFonts w:eastAsia="宋体"/>
      <w:kern w:val="2"/>
      <w:sz w:val="24"/>
      <w:szCs w:val="24"/>
      <w:lang w:val="en-US" w:eastAsia="zh-CN" w:bidi="ar-SA"/>
    </w:rPr>
  </w:style>
  <w:style w:type="character" w:customStyle="1" w:styleId="65">
    <w:name w:val="表格 Char Char"/>
    <w:uiPriority w:val="0"/>
    <w:rPr>
      <w:rFonts w:ascii="宋体" w:eastAsia="宋体"/>
      <w:sz w:val="21"/>
      <w:lang w:val="en-US" w:eastAsia="zh-CN" w:bidi="ar-SA"/>
    </w:rPr>
  </w:style>
  <w:style w:type="paragraph" w:customStyle="1" w:styleId="66">
    <w:name w:val="样式 四号 首行缩进:  2 字符"/>
    <w:basedOn w:val="1"/>
    <w:uiPriority w:val="0"/>
    <w:pPr>
      <w:spacing w:line="480" w:lineRule="atLeast"/>
    </w:pPr>
    <w:rPr>
      <w:rFonts w:eastAsia="宋体"/>
      <w:szCs w:val="20"/>
    </w:rPr>
  </w:style>
  <w:style w:type="character" w:customStyle="1" w:styleId="67">
    <w:name w:val="正文文本 2 Char"/>
    <w:basedOn w:val="23"/>
    <w:link w:val="21"/>
    <w:uiPriority w:val="0"/>
    <w:rPr>
      <w:rFonts w:eastAsiaTheme="minorEastAsia" w:cstheme="minorBidi"/>
      <w:kern w:val="2"/>
      <w:sz w:val="24"/>
      <w:szCs w:val="24"/>
    </w:rPr>
  </w:style>
  <w:style w:type="paragraph" w:customStyle="1" w:styleId="68">
    <w:name w:val="Char1 Char Char Char1"/>
    <w:basedOn w:val="1"/>
    <w:qFormat/>
    <w:uiPriority w:val="0"/>
    <w:pPr>
      <w:spacing w:line="240" w:lineRule="atLeast"/>
      <w:ind w:firstLine="200"/>
    </w:pPr>
    <w:rPr>
      <w:rFonts w:eastAsia="宋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103"/>
    <customShpInfo spid="_x0000_s1104"/>
    <customShpInfo spid="_x0000_s1102"/>
    <customShpInfo spid="_x0000_s1101"/>
    <customShpInfo spid="_x0000_s1095"/>
    <customShpInfo spid="_x0000_s1094"/>
    <customShpInfo spid="_x0000_s1096"/>
    <customShpInfo spid="_x0000_s1093"/>
    <customShpInfo spid="_x0000_s1098"/>
    <customShpInfo spid="_x0000_s1099"/>
    <customShpInfo spid="_x0000_s1097"/>
    <customShpInfo spid="_x0000_s1100"/>
    <customShpInfo spid="_x0000_s1092"/>
    <customShpInfo spid="_x0000_s110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4159FF-C816-498D-91AC-28B98C0E2DB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1417</Words>
  <Characters>8081</Characters>
  <Lines>67</Lines>
  <Paragraphs>18</Paragraphs>
  <TotalTime>0</TotalTime>
  <ScaleCrop>false</ScaleCrop>
  <LinksUpToDate>false</LinksUpToDate>
  <CharactersWithSpaces>9480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2018-02-02T23:37:00Z</dcterms:created>
  <dc:creator>Administrator</dc:creator>
  <cp:lastModifiedBy>深海1369487145</cp:lastModifiedBy>
  <cp:lastPrinted>2018-02-06T01:38:43Z</cp:lastPrinted>
  <dcterms:modified xsi:type="dcterms:W3CDTF">2018-02-06T01:48:06Z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